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E1A" w:rsidRPr="00D13639" w:rsidRDefault="000E693B" w:rsidP="00F54D2A">
      <w:pPr>
        <w:pStyle w:val="eTask"/>
        <w:rPr>
          <w:lang w:val="de-DE"/>
        </w:rPr>
      </w:pPr>
      <w:r w:rsidRPr="00D13639">
        <w:rPr>
          <w:bCs/>
          <w:lang w:val="de-DE"/>
        </w:rPr>
        <w:t>Wählen Sie jeweils eine Variante des folgenden Textes, so dass die Aussage richtig ist.</w:t>
      </w:r>
    </w:p>
    <w:p w:rsidR="001922A0" w:rsidRPr="00D13639" w:rsidRDefault="001922A0" w:rsidP="00F54D2A">
      <w:pPr>
        <w:rPr>
          <w:lang w:val="de-DE"/>
        </w:rPr>
      </w:pPr>
    </w:p>
    <w:p w:rsidR="000649AE" w:rsidRPr="00D13639" w:rsidRDefault="0045728E" w:rsidP="0018573B">
      <w:pPr>
        <w:spacing w:line="360" w:lineRule="auto"/>
        <w:rPr>
          <w:lang w:val="de-DE"/>
        </w:rPr>
      </w:pPr>
      <w:r w:rsidRPr="00D13639">
        <w:rPr>
          <w:rStyle w:val="hps"/>
          <w:lang w:val="de-DE"/>
        </w:rPr>
        <w:t xml:space="preserve">Für </w:t>
      </w: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kleine und mittlere Unternehmen</m:t>
                  </m:r>
                </m:e>
              </m:mr>
              <m:mr>
                <m:e>
                  <m:r>
                    <m:rPr>
                      <m:nor/>
                    </m:rPr>
                    <w:rPr>
                      <w:strike/>
                      <w:lang w:val="de-DE"/>
                    </w:rPr>
                    <m:t>größere Firmen</m:t>
                  </m:r>
                </m:e>
              </m:mr>
            </m:m>
          </m:e>
        </m:d>
      </m:oMath>
      <w:r w:rsidRPr="00D13639">
        <w:rPr>
          <w:rStyle w:val="hps"/>
          <w:lang w:val="de-DE"/>
        </w:rPr>
        <w:t xml:space="preserve"> kann die Sicherheit des Cloud Computings attraktiv sein, im Vergleich zu Ressourcen, die sie für die Informationssicherheit selbst aufwenden müssten.</w:t>
      </w:r>
    </w:p>
    <w:p w:rsidR="00990ADC" w:rsidRPr="00D13639" w:rsidRDefault="00244468" w:rsidP="0018573B">
      <w:pPr>
        <w:spacing w:line="360" w:lineRule="auto"/>
        <w:rPr>
          <w:lang w:val="de-DE"/>
        </w:rPr>
      </w:pPr>
      <w:r w:rsidRPr="00D13639">
        <w:rPr>
          <w:lang w:val="de-DE"/>
        </w:rPr>
        <w:t xml:space="preserve">Die </w:t>
      </w:r>
      <m:oMath>
        <m:d>
          <m:dPr>
            <m:ctrlPr>
              <w:rPr>
                <w:rFonts w:ascii="Cambria Math" w:hAnsi="Cambria Math"/>
                <w:i/>
                <w:lang w:val="de-DE"/>
              </w:rPr>
            </m:ctrlPr>
          </m:dPr>
          <m:e>
            <m:m>
              <m:mPr>
                <m:mcs>
                  <m:mc>
                    <m:mcPr>
                      <m:count m:val="1"/>
                      <m:mcJc m:val="center"/>
                    </m:mcPr>
                  </m:mc>
                </m:mcs>
                <m:ctrlPr>
                  <w:rPr>
                    <w:rFonts w:ascii="Cambria Math" w:hAnsi="Cambria Math"/>
                    <w:i/>
                    <w:color w:val="FF0000"/>
                    <w:lang w:val="de-DE"/>
                  </w:rPr>
                </m:ctrlPr>
              </m:mPr>
              <m:mr>
                <m:e>
                  <m:r>
                    <m:rPr>
                      <m:nor/>
                    </m:rPr>
                    <w:rPr>
                      <w:color w:val="FF0000"/>
                      <w:lang w:val="de-DE"/>
                    </w:rPr>
                    <m:t>Privatsphäre</m:t>
                  </m:r>
                </m:e>
              </m:mr>
              <m:mr>
                <m:e>
                  <m:r>
                    <m:rPr>
                      <m:nor/>
                    </m:rPr>
                    <w:rPr>
                      <w:color w:val="FF0000"/>
                      <w:lang w:val="de-DE"/>
                    </w:rPr>
                    <m:t>Sicherheit</m:t>
                  </m:r>
                </m:e>
              </m:mr>
            </m:m>
          </m:e>
        </m:d>
      </m:oMath>
      <w:r w:rsidRPr="00D13639">
        <w:rPr>
          <w:lang w:val="de-DE"/>
        </w:rPr>
        <w:t xml:space="preserve"> ist ein zentrales Thema für eine erfolgreiche Einführung des Cloud Computings.</w:t>
      </w:r>
    </w:p>
    <w:p w:rsidR="00F54D2A" w:rsidRPr="00D13639" w:rsidRDefault="00800B00" w:rsidP="0018573B">
      <w:pPr>
        <w:spacing w:line="360" w:lineRule="auto"/>
        <w:rPr>
          <w:lang w:val="de-DE"/>
        </w:rPr>
      </w:pPr>
      <w:r w:rsidRPr="00D13639">
        <w:rPr>
          <w:lang w:val="de-DE"/>
        </w:rPr>
        <w:t xml:space="preserve">Das Risiko des unbefugten Zugriffes auf sensible Daten </w:t>
      </w: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steigt</m:t>
                  </m:r>
                </m:e>
              </m:mr>
              <m:mr>
                <m:e>
                  <m:r>
                    <m:rPr>
                      <m:nor/>
                    </m:rPr>
                    <w:rPr>
                      <w:lang w:val="de-DE"/>
                    </w:rPr>
                    <m:t>sinkt</m:t>
                  </m:r>
                </m:e>
              </m:mr>
            </m:m>
          </m:e>
        </m:d>
      </m:oMath>
      <w:r w:rsidRPr="00D13639">
        <w:rPr>
          <w:lang w:val="de-DE"/>
        </w:rPr>
        <w:t>, wenn die Operationen in eine geteilte Infrastruktur migrieren.</w:t>
      </w:r>
    </w:p>
    <w:p w:rsidR="009B27AF" w:rsidRPr="00D13639" w:rsidRDefault="009B27AF" w:rsidP="0018573B">
      <w:pPr>
        <w:spacing w:line="360" w:lineRule="auto"/>
        <w:rPr>
          <w:lang w:val="de-DE"/>
        </w:rPr>
      </w:pPr>
      <w:r w:rsidRPr="00D13639">
        <w:rPr>
          <w:lang w:val="de-DE"/>
        </w:rPr>
        <w:t xml:space="preserve">Es kann für Kunden in der Cloud </w:t>
      </w:r>
      <m:oMath>
        <m:d>
          <m:dPr>
            <m:ctrlPr>
              <w:rPr>
                <w:rFonts w:ascii="Cambria Math" w:hAnsi="Cambria Math"/>
                <w:i/>
                <w:lang w:val="de-DE"/>
              </w:rPr>
            </m:ctrlPr>
          </m:dPr>
          <m:e>
            <m:m>
              <m:mPr>
                <m:mcs>
                  <m:mc>
                    <m:mcPr>
                      <m:count m:val="1"/>
                      <m:mcJc m:val="center"/>
                    </m:mcPr>
                  </m:mc>
                </m:mcs>
                <m:ctrlPr>
                  <w:rPr>
                    <w:rFonts w:ascii="Cambria Math" w:hAnsi="Cambria Math"/>
                    <w:lang w:val="de-DE"/>
                  </w:rPr>
                </m:ctrlPr>
              </m:mPr>
              <m:mr>
                <m:e>
                  <m:r>
                    <m:rPr>
                      <m:nor/>
                    </m:rPr>
                    <w:rPr>
                      <w:strike/>
                      <w:lang w:val="de-DE"/>
                    </w:rPr>
                    <m:t>immer</m:t>
                  </m:r>
                </m:e>
              </m:mr>
              <m:mr>
                <m:e>
                  <m:r>
                    <m:rPr>
                      <m:nor/>
                    </m:rPr>
                    <w:rPr>
                      <w:strike/>
                      <w:lang w:val="de-DE"/>
                    </w:rPr>
                    <m:t>nie</m:t>
                  </m:r>
                </m:e>
              </m:mr>
              <m:mr>
                <m:e>
                  <m:r>
                    <m:rPr>
                      <m:nor/>
                    </m:rPr>
                    <w:rPr>
                      <w:color w:val="FF0000"/>
                      <w:lang w:val="de-DE"/>
                    </w:rPr>
                    <m:t>manchmal</m:t>
                  </m:r>
                </m:e>
              </m:mr>
            </m:m>
          </m:e>
        </m:d>
      </m:oMath>
      <w:r w:rsidRPr="00D13639">
        <w:rPr>
          <w:lang w:val="de-DE"/>
        </w:rPr>
        <w:t xml:space="preserve"> </w:t>
      </w:r>
      <w:r w:rsidRPr="00D13639">
        <w:rPr>
          <w:rStyle w:val="hps"/>
          <w:lang w:val="de-DE"/>
        </w:rPr>
        <w:t>schwierig sein, die Regeln der Datenspeicherung des Cloud-Anbieters effizient zu überprüfen und so sicherzustellen, dass die Daten gesetzeskonform verarbeitet werden</w:t>
      </w:r>
      <w:r w:rsidRPr="00D13639">
        <w:rPr>
          <w:lang w:val="de-DE"/>
        </w:rPr>
        <w:t>.</w:t>
      </w:r>
    </w:p>
    <w:p w:rsidR="00990ADC" w:rsidRPr="00D13639" w:rsidRDefault="009B27AF" w:rsidP="0018573B">
      <w:pPr>
        <w:spacing w:line="360" w:lineRule="auto"/>
        <w:rPr>
          <w:lang w:val="de-DE"/>
        </w:rPr>
      </w:pPr>
      <w:r w:rsidRPr="00D13639">
        <w:rPr>
          <w:rStyle w:val="hps"/>
          <w:lang w:val="de-DE"/>
        </w:rPr>
        <w:t>Dienstleister bieten</w:t>
      </w:r>
      <m:oMath>
        <m:r>
          <w:rPr>
            <w:rFonts w:ascii="Cambria Math" w:hAnsi="Cambria Math"/>
            <w:lang w:val="de-DE"/>
          </w:rPr>
          <m:t xml:space="preserve"> </m:t>
        </m:r>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ein unterschiedliches</m:t>
                  </m:r>
                </m:e>
              </m:mr>
              <m:mr>
                <m:e>
                  <m:r>
                    <m:rPr>
                      <m:nor/>
                    </m:rPr>
                    <w:rPr>
                      <w:strike/>
                      <w:lang w:val="de-DE"/>
                    </w:rPr>
                    <m:t>dasselbe</m:t>
                  </m:r>
                </m:e>
              </m:mr>
            </m:m>
          </m:e>
        </m:d>
        <m:r>
          <w:rPr>
            <w:rFonts w:ascii="Cambria Math" w:hAnsi="Cambria Math"/>
            <w:lang w:val="de-DE"/>
          </w:rPr>
          <m:t xml:space="preserve"> </m:t>
        </m:r>
      </m:oMath>
      <w:r w:rsidRPr="00D13639">
        <w:rPr>
          <w:rStyle w:val="hps"/>
          <w:lang w:val="de-DE"/>
        </w:rPr>
        <w:t>Niveau der Kontrolle über Ressourcen für Benutzer.</w:t>
      </w:r>
    </w:p>
    <w:p w:rsidR="005A0FB3" w:rsidRPr="00D13639" w:rsidRDefault="00FF4C0F" w:rsidP="0018573B">
      <w:pPr>
        <w:spacing w:line="360" w:lineRule="auto"/>
        <w:rPr>
          <w:rStyle w:val="hps"/>
          <w:lang w:val="de-DE"/>
        </w:rPr>
      </w:pPr>
      <w:r w:rsidRPr="00D13639">
        <w:rPr>
          <w:rStyle w:val="hps"/>
          <w:lang w:val="de-DE"/>
        </w:rPr>
        <w:t>In der Gemeinscha</w:t>
      </w:r>
      <w:r w:rsidR="00D13639">
        <w:rPr>
          <w:rStyle w:val="hps"/>
          <w:lang w:val="de-DE"/>
        </w:rPr>
        <w:t>ft des Cloud Computings gibt es</w:t>
      </w:r>
      <m:oMath>
        <m:r>
          <w:rPr>
            <w:rStyle w:val="hps"/>
            <w:rFonts w:ascii="Cambria Math" w:hAnsi="Cambria Math"/>
            <w:lang w:val="de-DE"/>
          </w:rPr>
          <m:t xml:space="preserve"> </m:t>
        </m:r>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noch offene Fragen</m:t>
                  </m:r>
                </m:e>
              </m:mr>
              <m:mr>
                <m:e>
                  <m:r>
                    <m:rPr>
                      <m:nor/>
                    </m:rPr>
                    <w:rPr>
                      <w:strike/>
                      <w:lang w:val="de-DE"/>
                    </w:rPr>
                    <m:t>keine offenen Fragen mehr</m:t>
                  </m:r>
                </m:e>
              </m:mr>
            </m:m>
          </m:e>
        </m:d>
        <m:r>
          <w:rPr>
            <w:rFonts w:ascii="Cambria Math" w:hAnsi="Cambria Math"/>
            <w:lang w:val="de-DE"/>
          </w:rPr>
          <m:t xml:space="preserve"> </m:t>
        </m:r>
      </m:oMath>
      <w:r w:rsidRPr="00D13639">
        <w:rPr>
          <w:rStyle w:val="hps"/>
          <w:lang w:val="de-DE"/>
        </w:rPr>
        <w:t>über gerichtliche Zuständigkeit</w:t>
      </w:r>
      <w:r w:rsidR="00D13639" w:rsidRPr="00D13639">
        <w:rPr>
          <w:rStyle w:val="hps"/>
          <w:lang w:val="de-DE"/>
        </w:rPr>
        <w:t>en</w:t>
      </w:r>
      <w:r w:rsidRPr="00D13639">
        <w:rPr>
          <w:rStyle w:val="hps"/>
          <w:lang w:val="de-DE"/>
        </w:rPr>
        <w:t>, Datenschutz, faire Informationspraktiken und internationale Datenübertragung</w:t>
      </w:r>
      <w:r w:rsidR="00D13639" w:rsidRPr="00D13639">
        <w:rPr>
          <w:rStyle w:val="hps"/>
          <w:lang w:val="de-DE"/>
        </w:rPr>
        <w:t>en</w:t>
      </w:r>
      <w:r w:rsidRPr="00D13639">
        <w:rPr>
          <w:rStyle w:val="hps"/>
          <w:lang w:val="de-DE"/>
        </w:rPr>
        <w:t>, vor allem für Firmen, welche sensible Daten verwalten.</w:t>
      </w:r>
    </w:p>
    <w:p w:rsidR="00E062D3" w:rsidRPr="00D13639" w:rsidRDefault="00F80E9C" w:rsidP="0018573B">
      <w:pPr>
        <w:spacing w:line="360" w:lineRule="auto"/>
        <w:rPr>
          <w:lang w:val="de-DE"/>
        </w:rPr>
      </w:pP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Einige</m:t>
                  </m:r>
                </m:e>
              </m:mr>
              <m:mr>
                <m:e>
                  <m:r>
                    <m:rPr>
                      <m:nor/>
                    </m:rPr>
                    <w:rPr>
                      <w:strike/>
                      <w:lang w:val="de-DE"/>
                    </w:rPr>
                    <m:t>Alle</m:t>
                  </m:r>
                </m:e>
              </m:mr>
            </m:m>
          </m:e>
        </m:d>
        <m:r>
          <w:rPr>
            <w:rFonts w:ascii="Cambria Math" w:hAnsi="Cambria Math"/>
            <w:lang w:val="de-DE"/>
          </w:rPr>
          <m:t xml:space="preserve"> </m:t>
        </m:r>
      </m:oMath>
      <w:r w:rsidR="00244468" w:rsidRPr="00D13639">
        <w:rPr>
          <w:lang w:val="de-DE"/>
        </w:rPr>
        <w:t xml:space="preserve">Dienstleister bieten </w:t>
      </w:r>
      <m:oMath>
        <m:d>
          <m:dPr>
            <m:ctrlPr>
              <w:rPr>
                <w:rFonts w:ascii="Cambria Math" w:hAnsi="Cambria Math"/>
                <w:i/>
                <w:lang w:val="de-DE"/>
              </w:rPr>
            </m:ctrlPr>
          </m:dPr>
          <m:e>
            <m:m>
              <m:mPr>
                <m:mcs>
                  <m:mc>
                    <m:mcPr>
                      <m:count m:val="1"/>
                      <m:mcJc m:val="center"/>
                    </m:mcPr>
                  </m:mc>
                </m:mcs>
                <m:ctrlPr>
                  <w:rPr>
                    <w:rFonts w:ascii="Cambria Math" w:hAnsi="Cambria Math"/>
                    <w:i/>
                    <w:lang w:val="de-DE"/>
                  </w:rPr>
                </m:ctrlPr>
              </m:mPr>
              <m:mr>
                <m:e>
                  <m:r>
                    <m:rPr>
                      <m:nor/>
                    </m:rPr>
                    <w:rPr>
                      <w:color w:val="FF0000"/>
                      <w:lang w:val="de-DE"/>
                    </w:rPr>
                    <m:t>nur bestimmte</m:t>
                  </m:r>
                </m:e>
              </m:mr>
              <m:mr>
                <m:e>
                  <m:r>
                    <m:rPr>
                      <m:nor/>
                    </m:rPr>
                    <w:rPr>
                      <w:strike/>
                      <w:lang w:val="de-DE"/>
                    </w:rPr>
                    <m:t>alle</m:t>
                  </m:r>
                </m:e>
              </m:mr>
            </m:m>
          </m:e>
        </m:d>
        <m:r>
          <w:rPr>
            <w:rFonts w:ascii="Cambria Math" w:hAnsi="Cambria Math"/>
            <w:lang w:val="de-DE"/>
          </w:rPr>
          <m:t xml:space="preserve"> </m:t>
        </m:r>
      </m:oMath>
      <w:r w:rsidR="00244468" w:rsidRPr="00D13639">
        <w:rPr>
          <w:lang w:val="de-DE"/>
        </w:rPr>
        <w:t>Plattformen und Sprachen.</w:t>
      </w:r>
    </w:p>
    <w:p w:rsidR="00141E1A" w:rsidRPr="00D13639" w:rsidRDefault="00141E1A" w:rsidP="00141E1A">
      <w:pPr>
        <w:pStyle w:val="eLineBottom"/>
        <w:rPr>
          <w:lang w:val="de-DE"/>
        </w:rPr>
      </w:pPr>
    </w:p>
    <w:p w:rsidR="0061466C" w:rsidRPr="00D13639" w:rsidRDefault="0061466C" w:rsidP="00141E1A">
      <w:pPr>
        <w:pStyle w:val="eLineBottom"/>
        <w:rPr>
          <w:lang w:val="de-DE"/>
        </w:rPr>
      </w:pPr>
    </w:p>
    <w:p w:rsidR="001922A0" w:rsidRPr="00D13639" w:rsidRDefault="001922A0" w:rsidP="001922A0">
      <w:pPr>
        <w:rPr>
          <w:lang w:val="de-DE"/>
        </w:rPr>
      </w:pPr>
    </w:p>
    <w:p w:rsidR="00323262" w:rsidRPr="00D13639" w:rsidRDefault="00323262">
      <w:pPr>
        <w:rPr>
          <w:b/>
          <w:bCs/>
          <w:lang w:val="de-DE"/>
        </w:rPr>
      </w:pPr>
      <w:r w:rsidRPr="00D13639">
        <w:rPr>
          <w:bCs/>
          <w:lang w:val="de-DE"/>
        </w:rPr>
        <w:br w:type="page"/>
      </w:r>
    </w:p>
    <w:p w:rsidR="003A1E6F" w:rsidRPr="00D13639" w:rsidRDefault="005911C1" w:rsidP="00F54D2A">
      <w:pPr>
        <w:pStyle w:val="eTask"/>
        <w:rPr>
          <w:lang w:val="de-DE"/>
        </w:rPr>
      </w:pPr>
      <w:r w:rsidRPr="00D13639">
        <w:rPr>
          <w:bCs/>
          <w:lang w:val="de-DE"/>
        </w:rPr>
        <w:lastRenderedPageBreak/>
        <w:t xml:space="preserve">Markieren Sie die korrekten Varianten. </w:t>
      </w:r>
    </w:p>
    <w:p w:rsidR="003A1E6F" w:rsidRPr="00D13639" w:rsidRDefault="003A1E6F" w:rsidP="003A1E6F">
      <w:pPr>
        <w:rPr>
          <w:lang w:val="de-DE"/>
        </w:rPr>
      </w:pPr>
    </w:p>
    <w:p w:rsidR="00E062D3" w:rsidRPr="00D13639" w:rsidRDefault="0018573B" w:rsidP="004B392E">
      <w:pPr>
        <w:pStyle w:val="eCheckBoxText"/>
        <w:spacing w:after="120"/>
        <w:ind w:left="425" w:hanging="425"/>
        <w:rPr>
          <w:lang w:val="de-DE"/>
        </w:rPr>
      </w:pPr>
      <w:r w:rsidRPr="00D13639">
        <w:rPr>
          <w:rStyle w:val="eCheckBoxSquareChar"/>
          <w:lang w:val="de-DE"/>
        </w:rPr>
        <w:t>□</w:t>
      </w:r>
      <w:r w:rsidRPr="00D13639">
        <w:rPr>
          <w:lang w:val="de-DE"/>
        </w:rPr>
        <w:tab/>
      </w:r>
      <w:r w:rsidRPr="00D13639">
        <w:rPr>
          <w:rStyle w:val="hps"/>
          <w:lang w:val="de-DE"/>
        </w:rPr>
        <w:t>Auf Cloud-Dienste wird manchmal via Internet</w:t>
      </w:r>
      <w:r w:rsidR="00D13639" w:rsidRPr="00D13639">
        <w:rPr>
          <w:rStyle w:val="hps"/>
          <w:lang w:val="de-DE"/>
        </w:rPr>
        <w:t>,</w:t>
      </w:r>
      <w:r w:rsidRPr="00D13639">
        <w:rPr>
          <w:rStyle w:val="hps"/>
          <w:lang w:val="de-DE"/>
        </w:rPr>
        <w:t xml:space="preserve"> ohne jede Latenz in der Kommunikation zwischen dem Benutzer und dem Anbieter zugegriffen.</w:t>
      </w:r>
    </w:p>
    <w:p w:rsidR="00170488" w:rsidRPr="00D13639" w:rsidRDefault="0018573B" w:rsidP="004B392E">
      <w:pPr>
        <w:pStyle w:val="eCheckBoxText"/>
        <w:spacing w:after="120"/>
        <w:ind w:left="425" w:hanging="425"/>
        <w:rPr>
          <w:lang w:val="de-DE"/>
        </w:rPr>
      </w:pPr>
      <w:r w:rsidRPr="00D13639">
        <w:rPr>
          <w:rStyle w:val="eCheckBoxSquareChar"/>
          <w:lang w:val="de-DE"/>
        </w:rPr>
        <w:t>□</w:t>
      </w:r>
      <w:r w:rsidRPr="00D13639">
        <w:rPr>
          <w:rStyle w:val="eCheckBoxSquareChar"/>
          <w:lang w:val="de-DE"/>
        </w:rPr>
        <w:tab/>
      </w:r>
      <w:r w:rsidRPr="00D13639">
        <w:rPr>
          <w:rStyle w:val="hps"/>
          <w:lang w:val="de-DE"/>
        </w:rPr>
        <w:t>Das interne Hosting, wie das Pay-per-Use-Modell, erlaubt es den Firmen, nur die Ressource zu bezahlen, die sie wirklich brauchen.</w:t>
      </w:r>
    </w:p>
    <w:p w:rsidR="006954EE" w:rsidRPr="00D13639" w:rsidRDefault="00076F7E" w:rsidP="004B392E">
      <w:pPr>
        <w:pStyle w:val="eCheckBoxText"/>
        <w:spacing w:after="120"/>
        <w:ind w:left="425" w:hanging="425"/>
        <w:rPr>
          <w:color w:val="FF0000"/>
          <w:lang w:val="de-DE"/>
        </w:rPr>
      </w:pPr>
      <w:r w:rsidRPr="00D13639">
        <w:rPr>
          <w:rStyle w:val="eCheckBoxSquareChar"/>
          <w:b/>
          <w:bCs/>
          <w:color w:val="FF0000"/>
          <w:lang w:val="de-DE"/>
        </w:rPr>
        <w:t>x</w:t>
      </w:r>
      <w:r w:rsidRPr="00D13639">
        <w:rPr>
          <w:lang w:val="de-DE"/>
        </w:rPr>
        <w:tab/>
      </w:r>
      <w:r w:rsidRPr="00D13639">
        <w:rPr>
          <w:color w:val="FF0000"/>
          <w:lang w:val="de-DE"/>
        </w:rPr>
        <w:t xml:space="preserve">Im PaaS-Modell erfolgt die Verwaltung und Kontrolle der unterstützenden Cloud-Infrastruktur, einschließlich </w:t>
      </w:r>
      <w:r w:rsidR="00D13639" w:rsidRPr="00D13639">
        <w:rPr>
          <w:color w:val="FF0000"/>
          <w:lang w:val="de-DE"/>
        </w:rPr>
        <w:t xml:space="preserve">des </w:t>
      </w:r>
      <w:r w:rsidRPr="00D13639">
        <w:rPr>
          <w:color w:val="FF0000"/>
          <w:lang w:val="de-DE"/>
        </w:rPr>
        <w:t xml:space="preserve">Netzwerks, </w:t>
      </w:r>
      <w:r w:rsidR="00D13639" w:rsidRPr="00D13639">
        <w:rPr>
          <w:color w:val="FF0000"/>
          <w:lang w:val="de-DE"/>
        </w:rPr>
        <w:t>der Server</w:t>
      </w:r>
      <w:r w:rsidRPr="00D13639">
        <w:rPr>
          <w:color w:val="FF0000"/>
          <w:lang w:val="de-DE"/>
        </w:rPr>
        <w:t xml:space="preserve">, </w:t>
      </w:r>
      <w:r w:rsidR="00D13639" w:rsidRPr="00D13639">
        <w:rPr>
          <w:color w:val="FF0000"/>
          <w:lang w:val="de-DE"/>
        </w:rPr>
        <w:t>der Betriebssysteme</w:t>
      </w:r>
      <w:r w:rsidRPr="00D13639">
        <w:rPr>
          <w:color w:val="FF0000"/>
          <w:lang w:val="de-DE"/>
        </w:rPr>
        <w:t xml:space="preserve"> oder </w:t>
      </w:r>
      <w:r w:rsidR="00D13639" w:rsidRPr="00D13639">
        <w:rPr>
          <w:color w:val="FF0000"/>
          <w:lang w:val="de-DE"/>
        </w:rPr>
        <w:t>Speicher</w:t>
      </w:r>
      <w:r w:rsidRPr="00D13639">
        <w:rPr>
          <w:color w:val="FF0000"/>
          <w:lang w:val="de-DE"/>
        </w:rPr>
        <w:t xml:space="preserve"> nicht durch den Anwender, aber er kontrolliert seine Anwendungen und Konfigurationseinstellungen für die gehostete Umgebung.</w:t>
      </w:r>
    </w:p>
    <w:p w:rsidR="00C8560D" w:rsidRPr="00D13639" w:rsidRDefault="0018573B" w:rsidP="0039176B">
      <w:pPr>
        <w:pStyle w:val="eCheckBoxText"/>
        <w:spacing w:after="120"/>
        <w:ind w:left="425" w:hanging="425"/>
        <w:rPr>
          <w:lang w:val="de-DE"/>
        </w:rPr>
      </w:pPr>
      <w:r w:rsidRPr="00D13639">
        <w:rPr>
          <w:rStyle w:val="eCheckBoxSquareChar"/>
          <w:lang w:val="de-DE"/>
        </w:rPr>
        <w:t>□</w:t>
      </w:r>
      <w:r w:rsidRPr="00D13639">
        <w:rPr>
          <w:rStyle w:val="eCheckBoxSquareChar"/>
          <w:lang w:val="de-DE"/>
        </w:rPr>
        <w:tab/>
      </w:r>
      <w:r w:rsidRPr="00D13639">
        <w:rPr>
          <w:rStyle w:val="hps"/>
          <w:lang w:val="de-DE"/>
        </w:rPr>
        <w:t>Firmen verwenden und bezahlen</w:t>
      </w:r>
      <w:r w:rsidR="003A2E84" w:rsidRPr="00D13639">
        <w:rPr>
          <w:rStyle w:val="hps"/>
          <w:lang w:val="de-DE"/>
        </w:rPr>
        <w:t xml:space="preserve"> nur das</w:t>
      </w:r>
      <w:r w:rsidRPr="00D13639">
        <w:rPr>
          <w:rStyle w:val="hps"/>
          <w:lang w:val="de-DE"/>
        </w:rPr>
        <w:t xml:space="preserve">, was sie wirklich brauchen, jedoch </w:t>
      </w:r>
      <w:r w:rsidR="00D13639" w:rsidRPr="00D13639">
        <w:rPr>
          <w:rStyle w:val="hps"/>
          <w:lang w:val="de-DE"/>
        </w:rPr>
        <w:t xml:space="preserve">verlängert sich dadurch </w:t>
      </w:r>
      <w:r w:rsidRPr="00D13639">
        <w:rPr>
          <w:rStyle w:val="hps"/>
          <w:lang w:val="de-DE"/>
        </w:rPr>
        <w:t>die Implementierung.</w:t>
      </w:r>
    </w:p>
    <w:p w:rsidR="004B392E" w:rsidRPr="00D13639" w:rsidRDefault="004B392E">
      <w:pPr>
        <w:rPr>
          <w:b/>
          <w:lang w:val="de-DE"/>
        </w:rPr>
      </w:pPr>
      <w:r w:rsidRPr="00D13639">
        <w:rPr>
          <w:lang w:val="de-DE"/>
        </w:rPr>
        <w:br w:type="page"/>
      </w:r>
    </w:p>
    <w:p w:rsidR="00EB68C8" w:rsidRPr="00D13639" w:rsidRDefault="001D3491" w:rsidP="00F54D2A">
      <w:pPr>
        <w:pStyle w:val="eTask"/>
        <w:rPr>
          <w:lang w:val="de-DE"/>
        </w:rPr>
      </w:pPr>
      <w:r w:rsidRPr="00D13639">
        <w:rPr>
          <w:bCs/>
          <w:lang w:val="de-DE"/>
        </w:rPr>
        <w:lastRenderedPageBreak/>
        <w:t>Ordnen Sie den Begriffen in der linken Spalte die entsprechende Definition in der rechten Spalte zu.</w:t>
      </w:r>
    </w:p>
    <w:p w:rsidR="00EE4E6D" w:rsidRPr="00D13639" w:rsidRDefault="00EE4E6D" w:rsidP="004B392E">
      <w:pPr>
        <w:rPr>
          <w:lang w:val="de-D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560"/>
        <w:gridCol w:w="5276"/>
      </w:tblGrid>
      <w:tr w:rsidR="004B392E" w:rsidRPr="00D13639"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Pr="00D13639" w:rsidRDefault="004B392E" w:rsidP="004B392E">
            <w:pPr>
              <w:jc w:val="center"/>
              <w:rPr>
                <w:lang w:val="de-DE"/>
              </w:rPr>
            </w:pPr>
            <w:r w:rsidRPr="00D13639">
              <w:rPr>
                <w:rFonts w:eastAsia="MS Mincho"/>
                <w:color w:val="000000"/>
                <w:kern w:val="24"/>
                <w:lang w:val="de-DE"/>
              </w:rPr>
              <w:t>SaaS, IaaS und PaaS</w:t>
            </w:r>
          </w:p>
        </w:tc>
        <w:tc>
          <w:tcPr>
            <w:tcW w:w="1560" w:type="dxa"/>
            <w:tcBorders>
              <w:left w:val="single" w:sz="4" w:space="0" w:color="auto"/>
              <w:right w:val="single" w:sz="4" w:space="0" w:color="auto"/>
            </w:tcBorders>
          </w:tcPr>
          <w:p w:rsidR="004B392E" w:rsidRPr="00D13639"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rsidR="004B392E" w:rsidRPr="00D13639" w:rsidRDefault="001D3491" w:rsidP="001D3491">
            <w:pPr>
              <w:rPr>
                <w:lang w:val="de-DE"/>
              </w:rPr>
            </w:pPr>
            <w:r w:rsidRPr="00D13639">
              <w:rPr>
                <w:rFonts w:eastAsia="MS Mincho"/>
                <w:color w:val="000000"/>
                <w:kern w:val="24"/>
                <w:lang w:val="de-DE"/>
              </w:rPr>
              <w:t>Der Dienstleister besitzt die Einrichtungen und ist für ihr Beherbergen, ihren Lauf und ihre Wartung verantwortlich.</w:t>
            </w:r>
          </w:p>
        </w:tc>
      </w:tr>
      <w:tr w:rsidR="004B392E" w:rsidRPr="00D13639" w:rsidTr="004B392E">
        <w:trPr>
          <w:trHeight w:val="283"/>
        </w:trPr>
        <w:tc>
          <w:tcPr>
            <w:tcW w:w="2376" w:type="dxa"/>
            <w:tcBorders>
              <w:top w:val="single" w:sz="4" w:space="0" w:color="auto"/>
              <w:bottom w:val="single" w:sz="4" w:space="0" w:color="auto"/>
            </w:tcBorders>
            <w:vAlign w:val="center"/>
          </w:tcPr>
          <w:p w:rsidR="004B392E" w:rsidRPr="00D13639" w:rsidRDefault="004B392E" w:rsidP="004B392E">
            <w:pPr>
              <w:jc w:val="center"/>
              <w:rPr>
                <w:lang w:val="de-DE"/>
              </w:rPr>
            </w:pPr>
          </w:p>
        </w:tc>
        <w:tc>
          <w:tcPr>
            <w:tcW w:w="1560" w:type="dxa"/>
          </w:tcPr>
          <w:p w:rsidR="004B392E" w:rsidRPr="00D13639" w:rsidRDefault="004B392E" w:rsidP="004B392E">
            <w:pPr>
              <w:rPr>
                <w:lang w:val="de-DE"/>
              </w:rPr>
            </w:pPr>
          </w:p>
        </w:tc>
        <w:tc>
          <w:tcPr>
            <w:tcW w:w="5276" w:type="dxa"/>
            <w:tcBorders>
              <w:top w:val="single" w:sz="4" w:space="0" w:color="auto"/>
              <w:bottom w:val="single" w:sz="4" w:space="0" w:color="auto"/>
            </w:tcBorders>
            <w:vAlign w:val="center"/>
          </w:tcPr>
          <w:p w:rsidR="004B392E" w:rsidRPr="00D13639" w:rsidRDefault="004B392E" w:rsidP="004B392E">
            <w:pPr>
              <w:rPr>
                <w:lang w:val="de-DE"/>
              </w:rPr>
            </w:pPr>
          </w:p>
        </w:tc>
      </w:tr>
      <w:tr w:rsidR="004B392E" w:rsidRPr="00D13639"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Pr="00D13639" w:rsidRDefault="004B392E" w:rsidP="004B392E">
            <w:pPr>
              <w:jc w:val="center"/>
              <w:rPr>
                <w:lang w:val="de-DE"/>
              </w:rPr>
            </w:pPr>
            <w:r w:rsidRPr="00D13639">
              <w:rPr>
                <w:rFonts w:eastAsia="MS Mincho"/>
                <w:color w:val="000000"/>
                <w:kern w:val="24"/>
                <w:lang w:val="de-DE"/>
              </w:rPr>
              <w:t>IaaS</w:t>
            </w:r>
          </w:p>
        </w:tc>
        <w:tc>
          <w:tcPr>
            <w:tcW w:w="1560" w:type="dxa"/>
            <w:tcBorders>
              <w:left w:val="single" w:sz="4" w:space="0" w:color="auto"/>
              <w:right w:val="single" w:sz="4" w:space="0" w:color="auto"/>
            </w:tcBorders>
          </w:tcPr>
          <w:p w:rsidR="004B392E" w:rsidRPr="00D13639" w:rsidRDefault="00F80E9C" w:rsidP="004B392E">
            <w:pPr>
              <w:rPr>
                <w:lang w:val="de-DE"/>
              </w:rPr>
            </w:pPr>
            <w:r>
              <w:rPr>
                <w:color w:val="FF0000"/>
                <w:lang w:val="de-DE"/>
              </w:rPr>
              <w:pict>
                <v:shapetype id="_x0000_t32" coordsize="21600,21600" o:spt="32" o:oned="t" path="m,l21600,21600e" filled="f">
                  <v:path arrowok="t" fillok="f" o:connecttype="none"/>
                  <o:lock v:ext="edit" shapetype="t"/>
                </v:shapetype>
                <v:shape id="AutoShape 19" o:spid="_x0000_s1026" type="#_x0000_t32" style="position:absolute;margin-left:-5.7pt;margin-top:76.75pt;width:75.9pt;height:54.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" strokecolor="red" strokeweight="1.25pt"/>
              </w:pict>
            </w:r>
            <w:r>
              <w:rPr>
                <w:color w:val="FF0000"/>
                <w:lang w:val="de-DE"/>
              </w:rPr>
              <w:pict>
                <v:shape id="AutoShape 18" o:spid="_x0000_s1029" type="#_x0000_t32" style="position:absolute;margin-left:-5.7pt;margin-top:20.4pt;width:75.9pt;height:56.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" strokecolor="red" strokeweight="1.25pt"/>
              </w:pict>
            </w:r>
            <w:r>
              <w:rPr>
                <w:color w:val="FF0000"/>
                <w:lang w:val="de-DE"/>
              </w:rPr>
              <w:pict>
                <v:shape id="AutoShape 16" o:spid="_x0000_s1028" type="#_x0000_t32" style="position:absolute;margin-left:-5.7pt;margin-top:-39.65pt;width:75.9pt;height:17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" strokecolor="red" strokeweight="1.25pt"/>
              </w:pict>
            </w:r>
            <w:r>
              <w:rPr>
                <w:color w:val="FF0000"/>
                <w:lang w:val="de-DE"/>
              </w:rPr>
              <w:pict>
                <v:shape id="AutoShape 17" o:spid="_x0000_s1027" type="#_x0000_t32" style="position:absolute;margin-left:-5.7pt;margin-top:-37.35pt;width:75.9pt;height:60.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" strokecolor="red" strokeweight="1.25pt"/>
              </w:pict>
            </w:r>
          </w:p>
        </w:tc>
        <w:tc>
          <w:tcPr>
            <w:tcW w:w="5276" w:type="dxa"/>
            <w:tcBorders>
              <w:top w:val="single" w:sz="4" w:space="0" w:color="auto"/>
              <w:left w:val="single" w:sz="4" w:space="0" w:color="auto"/>
              <w:bottom w:val="single" w:sz="4" w:space="0" w:color="auto"/>
              <w:right w:val="single" w:sz="4" w:space="0" w:color="auto"/>
            </w:tcBorders>
            <w:vAlign w:val="center"/>
          </w:tcPr>
          <w:p w:rsidR="004B392E" w:rsidRPr="00D13639" w:rsidRDefault="001D3491" w:rsidP="001D3491">
            <w:pPr>
              <w:rPr>
                <w:lang w:val="de-DE"/>
              </w:rPr>
            </w:pPr>
            <w:r w:rsidRPr="00D13639">
              <w:rPr>
                <w:lang w:val="de-DE"/>
              </w:rPr>
              <w:t>Den Cloud-Kunden werden eine Plattform und eine Umgebung zum Aufbau von Anwendungen via Internet zur Verfügung gestellt.</w:t>
            </w:r>
          </w:p>
        </w:tc>
      </w:tr>
      <w:tr w:rsidR="004B392E" w:rsidRPr="00D13639" w:rsidTr="004B392E">
        <w:trPr>
          <w:trHeight w:val="283"/>
        </w:trPr>
        <w:tc>
          <w:tcPr>
            <w:tcW w:w="2376" w:type="dxa"/>
            <w:tcBorders>
              <w:top w:val="single" w:sz="4" w:space="0" w:color="auto"/>
              <w:bottom w:val="single" w:sz="4" w:space="0" w:color="auto"/>
            </w:tcBorders>
            <w:vAlign w:val="center"/>
          </w:tcPr>
          <w:p w:rsidR="004B392E" w:rsidRPr="00D13639" w:rsidRDefault="004B392E" w:rsidP="004B392E">
            <w:pPr>
              <w:jc w:val="center"/>
              <w:rPr>
                <w:lang w:val="de-DE"/>
              </w:rPr>
            </w:pPr>
          </w:p>
        </w:tc>
        <w:tc>
          <w:tcPr>
            <w:tcW w:w="1560" w:type="dxa"/>
          </w:tcPr>
          <w:p w:rsidR="004B392E" w:rsidRPr="00D13639" w:rsidRDefault="004B392E" w:rsidP="004B392E">
            <w:pPr>
              <w:rPr>
                <w:lang w:val="de-DE"/>
              </w:rPr>
            </w:pPr>
          </w:p>
        </w:tc>
        <w:tc>
          <w:tcPr>
            <w:tcW w:w="5276" w:type="dxa"/>
            <w:tcBorders>
              <w:top w:val="single" w:sz="4" w:space="0" w:color="auto"/>
              <w:bottom w:val="single" w:sz="4" w:space="0" w:color="auto"/>
            </w:tcBorders>
            <w:vAlign w:val="center"/>
          </w:tcPr>
          <w:p w:rsidR="004B392E" w:rsidRPr="00D13639" w:rsidRDefault="004B392E" w:rsidP="004B392E">
            <w:pPr>
              <w:rPr>
                <w:lang w:val="de-DE"/>
              </w:rPr>
            </w:pPr>
          </w:p>
        </w:tc>
      </w:tr>
      <w:tr w:rsidR="004B392E" w:rsidRPr="00D13639"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Pr="00D13639" w:rsidRDefault="004B392E" w:rsidP="004B392E">
            <w:pPr>
              <w:jc w:val="center"/>
              <w:rPr>
                <w:lang w:val="de-DE"/>
              </w:rPr>
            </w:pPr>
            <w:r w:rsidRPr="00D13639">
              <w:rPr>
                <w:rFonts w:eastAsia="MS Mincho"/>
                <w:color w:val="000000"/>
                <w:kern w:val="24"/>
                <w:lang w:val="de-DE"/>
              </w:rPr>
              <w:t>PaaS</w:t>
            </w:r>
          </w:p>
        </w:tc>
        <w:tc>
          <w:tcPr>
            <w:tcW w:w="1560" w:type="dxa"/>
            <w:tcBorders>
              <w:left w:val="single" w:sz="4" w:space="0" w:color="auto"/>
              <w:right w:val="single" w:sz="4" w:space="0" w:color="auto"/>
            </w:tcBorders>
          </w:tcPr>
          <w:p w:rsidR="004B392E" w:rsidRPr="00D13639"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rsidR="004B392E" w:rsidRPr="00D13639" w:rsidRDefault="001D3491" w:rsidP="001D3491">
            <w:pPr>
              <w:rPr>
                <w:lang w:val="de-DE"/>
              </w:rPr>
            </w:pPr>
            <w:r w:rsidRPr="00D13639">
              <w:rPr>
                <w:rFonts w:eastAsia="MS Mincho"/>
                <w:color w:val="000000" w:themeColor="text1"/>
                <w:kern w:val="24"/>
                <w:lang w:val="de-DE"/>
              </w:rPr>
              <w:t>Dabei entfällt die sonst notwendige Installation der Software auf Computern der Benutzer.</w:t>
            </w:r>
          </w:p>
        </w:tc>
      </w:tr>
      <w:tr w:rsidR="004B392E" w:rsidRPr="00D13639" w:rsidTr="004B392E">
        <w:trPr>
          <w:trHeight w:val="283"/>
        </w:trPr>
        <w:tc>
          <w:tcPr>
            <w:tcW w:w="2376" w:type="dxa"/>
            <w:tcBorders>
              <w:top w:val="single" w:sz="4" w:space="0" w:color="auto"/>
              <w:bottom w:val="single" w:sz="4" w:space="0" w:color="auto"/>
            </w:tcBorders>
            <w:vAlign w:val="center"/>
          </w:tcPr>
          <w:p w:rsidR="004B392E" w:rsidRPr="00D13639" w:rsidRDefault="004B392E" w:rsidP="004B392E">
            <w:pPr>
              <w:jc w:val="center"/>
              <w:rPr>
                <w:lang w:val="de-DE"/>
              </w:rPr>
            </w:pPr>
          </w:p>
        </w:tc>
        <w:tc>
          <w:tcPr>
            <w:tcW w:w="1560" w:type="dxa"/>
          </w:tcPr>
          <w:p w:rsidR="004B392E" w:rsidRPr="00D13639" w:rsidRDefault="004B392E" w:rsidP="004B392E">
            <w:pPr>
              <w:rPr>
                <w:lang w:val="de-DE"/>
              </w:rPr>
            </w:pPr>
          </w:p>
        </w:tc>
        <w:tc>
          <w:tcPr>
            <w:tcW w:w="5276" w:type="dxa"/>
            <w:tcBorders>
              <w:top w:val="single" w:sz="4" w:space="0" w:color="auto"/>
              <w:bottom w:val="single" w:sz="4" w:space="0" w:color="auto"/>
            </w:tcBorders>
            <w:vAlign w:val="center"/>
          </w:tcPr>
          <w:p w:rsidR="004B392E" w:rsidRPr="00D13639" w:rsidRDefault="004B392E" w:rsidP="004B392E">
            <w:pPr>
              <w:rPr>
                <w:lang w:val="de-DE"/>
              </w:rPr>
            </w:pPr>
          </w:p>
        </w:tc>
      </w:tr>
      <w:tr w:rsidR="004B392E" w:rsidRPr="00D13639" w:rsidTr="004B392E">
        <w:trPr>
          <w:trHeight w:val="828"/>
        </w:trPr>
        <w:tc>
          <w:tcPr>
            <w:tcW w:w="2376" w:type="dxa"/>
            <w:tcBorders>
              <w:top w:val="single" w:sz="4" w:space="0" w:color="auto"/>
              <w:left w:val="single" w:sz="4" w:space="0" w:color="auto"/>
              <w:bottom w:val="single" w:sz="4" w:space="0" w:color="auto"/>
              <w:right w:val="single" w:sz="4" w:space="0" w:color="auto"/>
            </w:tcBorders>
            <w:vAlign w:val="center"/>
          </w:tcPr>
          <w:p w:rsidR="004B392E" w:rsidRPr="00D13639" w:rsidRDefault="004B392E" w:rsidP="004B392E">
            <w:pPr>
              <w:jc w:val="center"/>
              <w:rPr>
                <w:lang w:val="de-DE"/>
              </w:rPr>
            </w:pPr>
            <w:r w:rsidRPr="00D13639">
              <w:rPr>
                <w:rFonts w:eastAsia="MS Mincho"/>
                <w:color w:val="000000"/>
                <w:kern w:val="24"/>
                <w:lang w:val="de-DE"/>
              </w:rPr>
              <w:t>SaaS</w:t>
            </w:r>
          </w:p>
        </w:tc>
        <w:tc>
          <w:tcPr>
            <w:tcW w:w="1560" w:type="dxa"/>
            <w:tcBorders>
              <w:left w:val="single" w:sz="4" w:space="0" w:color="auto"/>
              <w:right w:val="single" w:sz="4" w:space="0" w:color="auto"/>
            </w:tcBorders>
          </w:tcPr>
          <w:p w:rsidR="004B392E" w:rsidRPr="00D13639" w:rsidRDefault="004B392E" w:rsidP="004B392E">
            <w:pPr>
              <w:rPr>
                <w:lang w:val="de-DE"/>
              </w:rPr>
            </w:pPr>
          </w:p>
        </w:tc>
        <w:tc>
          <w:tcPr>
            <w:tcW w:w="5276" w:type="dxa"/>
            <w:tcBorders>
              <w:top w:val="single" w:sz="4" w:space="0" w:color="auto"/>
              <w:left w:val="single" w:sz="4" w:space="0" w:color="auto"/>
              <w:bottom w:val="single" w:sz="4" w:space="0" w:color="auto"/>
              <w:right w:val="single" w:sz="4" w:space="0" w:color="auto"/>
            </w:tcBorders>
            <w:vAlign w:val="center"/>
          </w:tcPr>
          <w:p w:rsidR="004B392E" w:rsidRPr="00D13639" w:rsidRDefault="001D3491" w:rsidP="001D3491">
            <w:pPr>
              <w:rPr>
                <w:lang w:val="de-DE"/>
              </w:rPr>
            </w:pPr>
            <w:r w:rsidRPr="00D13639">
              <w:rPr>
                <w:rFonts w:eastAsia="MS Mincho"/>
                <w:color w:val="000000"/>
                <w:kern w:val="24"/>
                <w:lang w:val="de-DE"/>
              </w:rPr>
              <w:t>Diese Lösung stellt kleine oder keine Anlageinvestitionen dar.</w:t>
            </w:r>
          </w:p>
        </w:tc>
      </w:tr>
    </w:tbl>
    <w:p w:rsidR="004B392E" w:rsidRPr="00D13639" w:rsidRDefault="004B392E" w:rsidP="004B392E">
      <w:pPr>
        <w:rPr>
          <w:lang w:val="de-DE"/>
        </w:rPr>
      </w:pPr>
    </w:p>
    <w:p w:rsidR="00290885" w:rsidRPr="00D13639" w:rsidRDefault="00C870D8" w:rsidP="004B392E">
      <w:pPr>
        <w:pStyle w:val="eTask"/>
        <w:rPr>
          <w:lang w:val="de-DE"/>
        </w:rPr>
      </w:pPr>
      <w:r w:rsidRPr="00D13639">
        <w:rPr>
          <w:bCs/>
          <w:lang w:val="de-DE"/>
        </w:rPr>
        <w:t>Ergänzen Sie die Nummern der richtigen Aussagen in die folgende Tabelle.</w:t>
      </w:r>
    </w:p>
    <w:p w:rsidR="00323262" w:rsidRPr="00D13639" w:rsidRDefault="00323262" w:rsidP="00323262">
      <w:pPr>
        <w:pStyle w:val="eTask"/>
        <w:numPr>
          <w:ilvl w:val="0"/>
          <w:numId w:val="0"/>
        </w:numPr>
        <w:ind w:left="426" w:hanging="357"/>
        <w:rPr>
          <w:lang w:val="de-DE"/>
        </w:rPr>
      </w:pPr>
    </w:p>
    <w:tbl>
      <w:tblPr>
        <w:tblStyle w:val="Mkatabulky"/>
        <w:tblW w:w="0" w:type="auto"/>
        <w:jc w:val="center"/>
        <w:tblLook w:val="04A0" w:firstRow="1" w:lastRow="0" w:firstColumn="1" w:lastColumn="0" w:noHBand="0" w:noVBand="1"/>
      </w:tblPr>
      <w:tblGrid>
        <w:gridCol w:w="2223"/>
      </w:tblGrid>
      <w:tr w:rsidR="00076F7E" w:rsidRPr="00D13639" w:rsidTr="00C97642">
        <w:trPr>
          <w:trHeight w:val="117"/>
          <w:jc w:val="center"/>
        </w:trPr>
        <w:tc>
          <w:tcPr>
            <w:tcW w:w="2223" w:type="dxa"/>
          </w:tcPr>
          <w:p w:rsidR="00076F7E" w:rsidRPr="00D13639" w:rsidRDefault="00076F7E" w:rsidP="00076F7E">
            <w:pPr>
              <w:spacing w:before="60" w:after="60"/>
              <w:jc w:val="center"/>
              <w:rPr>
                <w:b/>
                <w:color w:val="FF0000"/>
                <w:lang w:val="de-DE"/>
              </w:rPr>
            </w:pPr>
            <w:r w:rsidRPr="00D13639">
              <w:rPr>
                <w:b/>
                <w:bCs/>
                <w:color w:val="FF0000"/>
                <w:lang w:val="de-DE"/>
              </w:rPr>
              <w:t>2</w:t>
            </w:r>
          </w:p>
        </w:tc>
      </w:tr>
      <w:tr w:rsidR="00076F7E" w:rsidRPr="00D13639" w:rsidTr="00290885">
        <w:trPr>
          <w:trHeight w:val="117"/>
          <w:jc w:val="center"/>
        </w:trPr>
        <w:tc>
          <w:tcPr>
            <w:tcW w:w="2223" w:type="dxa"/>
          </w:tcPr>
          <w:p w:rsidR="00076F7E" w:rsidRPr="00D13639" w:rsidRDefault="00076F7E" w:rsidP="00076F7E">
            <w:pPr>
              <w:spacing w:before="60" w:after="60"/>
              <w:jc w:val="center"/>
              <w:rPr>
                <w:b/>
                <w:color w:val="FF0000"/>
                <w:lang w:val="de-DE"/>
              </w:rPr>
            </w:pPr>
            <w:r w:rsidRPr="00D13639">
              <w:rPr>
                <w:b/>
                <w:bCs/>
                <w:color w:val="FF0000"/>
                <w:lang w:val="de-DE"/>
              </w:rPr>
              <w:t>3</w:t>
            </w:r>
          </w:p>
        </w:tc>
      </w:tr>
      <w:tr w:rsidR="00076F7E" w:rsidRPr="00D13639" w:rsidTr="00290885">
        <w:trPr>
          <w:jc w:val="center"/>
        </w:trPr>
        <w:tc>
          <w:tcPr>
            <w:tcW w:w="2223" w:type="dxa"/>
          </w:tcPr>
          <w:p w:rsidR="00076F7E" w:rsidRPr="00D13639" w:rsidRDefault="00076F7E" w:rsidP="00076F7E">
            <w:pPr>
              <w:spacing w:before="60" w:after="60"/>
              <w:jc w:val="center"/>
              <w:rPr>
                <w:b/>
                <w:color w:val="FF0000"/>
                <w:lang w:val="de-DE"/>
              </w:rPr>
            </w:pPr>
            <w:r w:rsidRPr="00D13639">
              <w:rPr>
                <w:b/>
                <w:bCs/>
                <w:color w:val="FF0000"/>
                <w:lang w:val="de-DE"/>
              </w:rPr>
              <w:t>4</w:t>
            </w:r>
          </w:p>
        </w:tc>
      </w:tr>
      <w:tr w:rsidR="00076F7E" w:rsidRPr="00D13639" w:rsidTr="00290885">
        <w:trPr>
          <w:jc w:val="center"/>
        </w:trPr>
        <w:tc>
          <w:tcPr>
            <w:tcW w:w="2223" w:type="dxa"/>
          </w:tcPr>
          <w:p w:rsidR="00076F7E" w:rsidRPr="00D13639" w:rsidRDefault="00076F7E" w:rsidP="00076F7E">
            <w:pPr>
              <w:spacing w:before="60" w:after="60"/>
              <w:jc w:val="center"/>
              <w:rPr>
                <w:b/>
                <w:color w:val="FF0000"/>
                <w:lang w:val="de-DE"/>
              </w:rPr>
            </w:pPr>
            <w:r w:rsidRPr="00D13639">
              <w:rPr>
                <w:b/>
                <w:bCs/>
                <w:color w:val="FF0000"/>
                <w:lang w:val="de-DE"/>
              </w:rPr>
              <w:t>6</w:t>
            </w:r>
          </w:p>
        </w:tc>
      </w:tr>
      <w:tr w:rsidR="00076F7E" w:rsidRPr="00D13639" w:rsidTr="00290885">
        <w:trPr>
          <w:jc w:val="center"/>
        </w:trPr>
        <w:tc>
          <w:tcPr>
            <w:tcW w:w="2223" w:type="dxa"/>
          </w:tcPr>
          <w:p w:rsidR="00076F7E" w:rsidRPr="00D13639" w:rsidRDefault="00076F7E" w:rsidP="00076F7E">
            <w:pPr>
              <w:spacing w:before="60" w:after="60"/>
              <w:jc w:val="center"/>
              <w:rPr>
                <w:lang w:val="de-DE"/>
              </w:rPr>
            </w:pPr>
          </w:p>
        </w:tc>
      </w:tr>
      <w:tr w:rsidR="00076F7E" w:rsidRPr="00D13639" w:rsidTr="00290885">
        <w:trPr>
          <w:jc w:val="center"/>
        </w:trPr>
        <w:tc>
          <w:tcPr>
            <w:tcW w:w="2223" w:type="dxa"/>
          </w:tcPr>
          <w:p w:rsidR="00076F7E" w:rsidRPr="00D13639" w:rsidRDefault="00076F7E" w:rsidP="00076F7E">
            <w:pPr>
              <w:spacing w:before="60" w:after="60"/>
              <w:jc w:val="center"/>
              <w:rPr>
                <w:lang w:val="de-DE"/>
              </w:rPr>
            </w:pPr>
          </w:p>
        </w:tc>
      </w:tr>
    </w:tbl>
    <w:p w:rsidR="00290885" w:rsidRPr="00D13639" w:rsidRDefault="00290885" w:rsidP="00D5796D">
      <w:pPr>
        <w:rPr>
          <w:lang w:val="de-DE"/>
        </w:rPr>
      </w:pPr>
    </w:p>
    <w:p w:rsidR="00EB68C8" w:rsidRPr="00D13639" w:rsidRDefault="00D5796D" w:rsidP="00D5796D">
      <w:pPr>
        <w:ind w:left="714" w:hanging="357"/>
        <w:rPr>
          <w:lang w:val="de-DE"/>
        </w:rPr>
      </w:pPr>
      <w:r w:rsidRPr="00D13639">
        <w:rPr>
          <w:b/>
          <w:bCs/>
          <w:lang w:val="de-DE"/>
        </w:rPr>
        <w:t>1</w:t>
      </w:r>
      <w:r w:rsidRPr="00D13639">
        <w:rPr>
          <w:lang w:val="de-DE"/>
        </w:rPr>
        <w:t xml:space="preserve"> – </w:t>
      </w:r>
      <w:r w:rsidRPr="00D13639">
        <w:rPr>
          <w:rStyle w:val="hps"/>
          <w:lang w:val="de-DE"/>
        </w:rPr>
        <w:t>Die Ressourcen des Dienstleisters werden gebündelt, um mehreren Kunden in</w:t>
      </w:r>
      <w:bookmarkStart w:id="0" w:name="_GoBack"/>
      <w:bookmarkEnd w:id="0"/>
      <w:r w:rsidRPr="00D13639">
        <w:rPr>
          <w:rStyle w:val="hps"/>
          <w:lang w:val="de-DE"/>
        </w:rPr>
        <w:t xml:space="preserve"> einem mandantenfähigen Modell zu dienen, wobei </w:t>
      </w:r>
      <w:r w:rsidR="000D0A9A" w:rsidRPr="00D13639">
        <w:rPr>
          <w:rStyle w:val="hps"/>
          <w:lang w:val="de-DE"/>
        </w:rPr>
        <w:t>identische</w:t>
      </w:r>
      <w:r w:rsidRPr="00D13639">
        <w:rPr>
          <w:rStyle w:val="hps"/>
          <w:lang w:val="de-DE"/>
        </w:rPr>
        <w:t xml:space="preserve"> physische und virtuelle Ressourcen gemäß der Verbrauchernachfrage dynamisch zugeteilt werden.</w:t>
      </w:r>
    </w:p>
    <w:p w:rsidR="00290E48" w:rsidRPr="00D13639" w:rsidRDefault="00D5796D" w:rsidP="00D5796D">
      <w:pPr>
        <w:spacing w:before="60"/>
        <w:ind w:left="714" w:hanging="357"/>
        <w:rPr>
          <w:color w:val="FF0000"/>
          <w:lang w:val="de-DE"/>
        </w:rPr>
      </w:pPr>
      <w:r w:rsidRPr="00D13639">
        <w:rPr>
          <w:b/>
          <w:bCs/>
          <w:color w:val="FF0000"/>
          <w:lang w:val="de-DE"/>
        </w:rPr>
        <w:t>2</w:t>
      </w:r>
      <w:r w:rsidRPr="00D13639">
        <w:rPr>
          <w:color w:val="FF0000"/>
          <w:lang w:val="de-DE"/>
        </w:rPr>
        <w:t xml:space="preserve"> – </w:t>
      </w:r>
      <w:r w:rsidRPr="00D13639">
        <w:rPr>
          <w:rStyle w:val="hps"/>
          <w:color w:val="FF0000"/>
          <w:lang w:val="de-DE"/>
        </w:rPr>
        <w:t xml:space="preserve">Die Mandantenfähigkeit </w:t>
      </w:r>
      <w:r w:rsidR="00D13639" w:rsidRPr="00D13639">
        <w:rPr>
          <w:rStyle w:val="hps"/>
          <w:color w:val="FF0000"/>
          <w:lang w:val="de-DE"/>
        </w:rPr>
        <w:t xml:space="preserve">verursacht </w:t>
      </w:r>
      <w:r w:rsidRPr="00D13639">
        <w:rPr>
          <w:rStyle w:val="hps"/>
          <w:color w:val="FF0000"/>
          <w:lang w:val="de-DE"/>
        </w:rPr>
        <w:t xml:space="preserve">damit </w:t>
      </w:r>
      <w:r w:rsidR="00D13639" w:rsidRPr="00D13639">
        <w:rPr>
          <w:rStyle w:val="hps"/>
          <w:color w:val="FF0000"/>
          <w:lang w:val="de-DE"/>
        </w:rPr>
        <w:t xml:space="preserve">eine </w:t>
      </w:r>
      <w:r w:rsidRPr="00D13639">
        <w:rPr>
          <w:rStyle w:val="hps"/>
          <w:color w:val="FF0000"/>
          <w:lang w:val="de-DE"/>
        </w:rPr>
        <w:t>inhärente Erhöhung des Betriebsaufwands, der mittels einer bestimmten Hardwareko</w:t>
      </w:r>
      <w:r w:rsidR="00D13639" w:rsidRPr="00D13639">
        <w:rPr>
          <w:rStyle w:val="hps"/>
          <w:color w:val="FF0000"/>
          <w:lang w:val="de-DE"/>
        </w:rPr>
        <w:t>nfiguration und Softwarelösung</w:t>
      </w:r>
      <w:r w:rsidRPr="00D13639">
        <w:rPr>
          <w:rStyle w:val="hps"/>
          <w:color w:val="FF0000"/>
          <w:lang w:val="de-DE"/>
        </w:rPr>
        <w:t xml:space="preserve"> minimiert werden kann, wie </w:t>
      </w:r>
      <w:r w:rsidR="00D13639" w:rsidRPr="00D13639">
        <w:rPr>
          <w:rStyle w:val="hps"/>
          <w:color w:val="FF0000"/>
          <w:lang w:val="de-DE"/>
        </w:rPr>
        <w:t xml:space="preserve">z. B. </w:t>
      </w:r>
      <w:r w:rsidRPr="00D13639">
        <w:rPr>
          <w:rStyle w:val="hps"/>
          <w:color w:val="FF0000"/>
          <w:lang w:val="de-DE"/>
        </w:rPr>
        <w:t>Anwendungs- und Serverprofile.</w:t>
      </w:r>
    </w:p>
    <w:p w:rsidR="00290E48" w:rsidRPr="00D13639" w:rsidRDefault="00D5796D" w:rsidP="00D5796D">
      <w:pPr>
        <w:spacing w:before="60"/>
        <w:ind w:left="714" w:hanging="357"/>
        <w:rPr>
          <w:color w:val="FF0000"/>
          <w:lang w:val="de-DE"/>
        </w:rPr>
      </w:pPr>
      <w:r w:rsidRPr="00D13639">
        <w:rPr>
          <w:b/>
          <w:bCs/>
          <w:color w:val="FF0000"/>
          <w:lang w:val="de-DE"/>
        </w:rPr>
        <w:t>3</w:t>
      </w:r>
      <w:r w:rsidRPr="00D13639">
        <w:rPr>
          <w:color w:val="FF0000"/>
          <w:lang w:val="de-DE"/>
        </w:rPr>
        <w:t xml:space="preserve"> – PaaS kann von IaaS abhängen, weil Anwendungsplattformen physische Infrastruktur erfordern.</w:t>
      </w:r>
    </w:p>
    <w:p w:rsidR="002A53F9" w:rsidRPr="00D13639" w:rsidRDefault="00D5796D" w:rsidP="00D5796D">
      <w:pPr>
        <w:spacing w:before="60"/>
        <w:ind w:left="714" w:hanging="357"/>
        <w:rPr>
          <w:color w:val="FF0000"/>
          <w:lang w:val="de-DE"/>
        </w:rPr>
      </w:pPr>
      <w:r w:rsidRPr="00D13639">
        <w:rPr>
          <w:b/>
          <w:bCs/>
          <w:color w:val="FF0000"/>
          <w:lang w:val="de-DE"/>
        </w:rPr>
        <w:t>4</w:t>
      </w:r>
      <w:r w:rsidRPr="00D13639">
        <w:rPr>
          <w:color w:val="FF0000"/>
          <w:lang w:val="de-DE"/>
        </w:rPr>
        <w:t xml:space="preserve"> – </w:t>
      </w:r>
      <w:r w:rsidR="004E212A" w:rsidRPr="004E212A">
        <w:rPr>
          <w:rStyle w:val="hps"/>
          <w:color w:val="FF0000"/>
          <w:lang w:val="de-DE"/>
        </w:rPr>
        <w:t>Heutzutage sparen Firmen mehr Ressourcen in Software- und Plattformdiensten als durch Infrastruktur.</w:t>
      </w:r>
    </w:p>
    <w:p w:rsidR="002A53F9" w:rsidRPr="00D13639" w:rsidRDefault="00D5796D" w:rsidP="00D5796D">
      <w:pPr>
        <w:spacing w:before="60"/>
        <w:ind w:left="714" w:hanging="357"/>
        <w:rPr>
          <w:lang w:val="de-DE"/>
        </w:rPr>
      </w:pPr>
      <w:r w:rsidRPr="00D13639">
        <w:rPr>
          <w:b/>
          <w:bCs/>
          <w:lang w:val="de-DE"/>
        </w:rPr>
        <w:t>5</w:t>
      </w:r>
      <w:r w:rsidRPr="00D13639">
        <w:rPr>
          <w:lang w:val="de-DE"/>
        </w:rPr>
        <w:t xml:space="preserve"> – </w:t>
      </w:r>
      <w:r w:rsidRPr="00D13639">
        <w:rPr>
          <w:rStyle w:val="hps"/>
          <w:lang w:val="de-DE"/>
        </w:rPr>
        <w:t>Einer der größ</w:t>
      </w:r>
      <w:r w:rsidR="00D13639" w:rsidRPr="00D13639">
        <w:rPr>
          <w:rStyle w:val="hps"/>
          <w:lang w:val="de-DE"/>
        </w:rPr>
        <w:t>ten Nachteile von SaaS wird dadurch</w:t>
      </w:r>
      <w:r w:rsidRPr="00D13639">
        <w:rPr>
          <w:rStyle w:val="hps"/>
          <w:lang w:val="de-DE"/>
        </w:rPr>
        <w:t xml:space="preserve"> verursacht, dass die Funktionalität oft nicht so verfeinert </w:t>
      </w:r>
      <w:r w:rsidR="00D13639" w:rsidRPr="00D13639">
        <w:rPr>
          <w:rStyle w:val="hps"/>
          <w:lang w:val="de-DE"/>
        </w:rPr>
        <w:t xml:space="preserve">werden kann </w:t>
      </w:r>
      <w:r w:rsidRPr="00D13639">
        <w:rPr>
          <w:rStyle w:val="hps"/>
          <w:lang w:val="de-DE"/>
        </w:rPr>
        <w:t xml:space="preserve">oder </w:t>
      </w:r>
      <w:r w:rsidR="00D13639" w:rsidRPr="00D13639">
        <w:rPr>
          <w:rStyle w:val="hps"/>
          <w:lang w:val="de-DE"/>
        </w:rPr>
        <w:t xml:space="preserve">nicht </w:t>
      </w:r>
      <w:r w:rsidRPr="00D13639">
        <w:rPr>
          <w:rStyle w:val="hps"/>
          <w:lang w:val="de-DE"/>
        </w:rPr>
        <w:t>komplett ist.</w:t>
      </w:r>
    </w:p>
    <w:p w:rsidR="00EB68C8" w:rsidRPr="00D13639" w:rsidRDefault="00D5796D" w:rsidP="0061466C">
      <w:pPr>
        <w:spacing w:before="60"/>
        <w:ind w:left="714" w:hanging="357"/>
        <w:rPr>
          <w:color w:val="FF0000"/>
          <w:lang w:val="de-DE"/>
        </w:rPr>
      </w:pPr>
      <w:r w:rsidRPr="00D13639">
        <w:rPr>
          <w:b/>
          <w:bCs/>
          <w:color w:val="FF0000"/>
          <w:lang w:val="de-DE"/>
        </w:rPr>
        <w:t>6</w:t>
      </w:r>
      <w:r w:rsidRPr="00D13639">
        <w:rPr>
          <w:color w:val="FF0000"/>
          <w:lang w:val="de-DE"/>
        </w:rPr>
        <w:t xml:space="preserve"> – </w:t>
      </w:r>
      <w:r w:rsidRPr="00D13639">
        <w:rPr>
          <w:rStyle w:val="hps"/>
          <w:color w:val="FF0000"/>
          <w:lang w:val="de-DE"/>
        </w:rPr>
        <w:t>Das PaaS-Modell ermöglicht es den Benutzern, virtualisierte Server und verbundene, für den Lauf der Anwendungen erforderliche Dienste zu mieten, die mittels der vom Dienstleister unterstützten Programmiersprachen, Bibliotheken, Dienstleistungen und Tools erstellt wurden.</w:t>
      </w:r>
    </w:p>
    <w:sectPr w:rsidR="00EB68C8" w:rsidRPr="00D13639" w:rsidSect="002B41A8">
      <w:headerReference w:type="default" r:id="rId7"/>
      <w:footerReference w:type="default" r:id="rId8"/>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E9C" w:rsidRDefault="00F80E9C" w:rsidP="00861A1A">
      <w:r>
        <w:separator/>
      </w:r>
    </w:p>
  </w:endnote>
  <w:endnote w:type="continuationSeparator" w:id="0">
    <w:p w:rsidR="00F80E9C" w:rsidRDefault="00F80E9C"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0072E4" w:rsidTr="00CA51B5">
      <w:tc>
        <w:tcPr>
          <w:tcW w:w="2518" w:type="dxa"/>
        </w:tcPr>
        <w:p w:rsidR="000072E4" w:rsidRDefault="000072E4" w:rsidP="00CA51B5">
          <w:pPr>
            <w:tabs>
              <w:tab w:val="left" w:pos="426"/>
              <w:tab w:val="left" w:pos="3119"/>
              <w:tab w:val="left" w:pos="3544"/>
            </w:tabs>
          </w:pPr>
          <w:r>
            <w:rPr>
              <w:noProof/>
            </w:rPr>
            <w:drawing>
              <wp:inline distT="0" distB="0" distL="0" distR="0">
                <wp:extent cx="1463040" cy="42164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18573B" w:rsidRPr="0018573B" w:rsidRDefault="0018573B" w:rsidP="0018573B">
          <w:pPr>
            <w:tabs>
              <w:tab w:val="left" w:pos="426"/>
              <w:tab w:val="left" w:pos="3119"/>
              <w:tab w:val="left" w:pos="3544"/>
            </w:tabs>
            <w:spacing w:before="14"/>
            <w:rPr>
              <w:sz w:val="16"/>
              <w:szCs w:val="16"/>
            </w:rPr>
          </w:pPr>
          <w:r>
            <w:rPr>
              <w:sz w:val="16"/>
              <w:szCs w:val="16"/>
              <w:lang w:val="de-DE"/>
            </w:rPr>
            <w:t>Dieses Projekt wurde mit Unterstützung der Europäischen Kommission finanziert.</w:t>
          </w:r>
        </w:p>
        <w:p w:rsidR="000072E4" w:rsidRPr="00CA51B5" w:rsidRDefault="0018573B" w:rsidP="0018573B">
          <w:pPr>
            <w:tabs>
              <w:tab w:val="left" w:pos="426"/>
              <w:tab w:val="left" w:pos="3119"/>
              <w:tab w:val="left" w:pos="3544"/>
            </w:tabs>
            <w:spacing w:before="14"/>
            <w:rPr>
              <w:sz w:val="16"/>
              <w:szCs w:val="16"/>
            </w:rPr>
          </w:pPr>
          <w:r>
            <w:rPr>
              <w:sz w:val="16"/>
              <w:szCs w:val="16"/>
              <w:lang w:val="de-DE"/>
            </w:rPr>
            <w:t>Die Verantwortung für den Inhalt dieser Veröffentlichung (Mitteilung) trägt allein der Verfasser; die Kommission haftet nicht für die weitere Verwendung der darin enthaltenen Angaben.</w:t>
          </w:r>
        </w:p>
      </w:tc>
    </w:tr>
    <w:tr w:rsidR="000072E4" w:rsidTr="00CA51B5">
      <w:tc>
        <w:tcPr>
          <w:tcW w:w="8472" w:type="dxa"/>
          <w:gridSpan w:val="2"/>
        </w:tcPr>
        <w:p w:rsidR="000072E4" w:rsidRPr="00CA51B5" w:rsidRDefault="000072E4" w:rsidP="00CA51B5">
          <w:pPr>
            <w:tabs>
              <w:tab w:val="left" w:pos="426"/>
              <w:tab w:val="left" w:pos="3119"/>
              <w:tab w:val="left" w:pos="3544"/>
            </w:tabs>
            <w:spacing w:before="120"/>
            <w:rPr>
              <w:sz w:val="16"/>
              <w:szCs w:val="16"/>
            </w:rPr>
          </w:pPr>
          <w:r>
            <w:rPr>
              <w:sz w:val="16"/>
              <w:szCs w:val="16"/>
              <w:lang w:val="de-DE"/>
            </w:rPr>
            <w:t>TechPedia – EuropeanVirtualLearningPlatformforElectrical and InformationEngineering</w:t>
          </w:r>
        </w:p>
      </w:tc>
      <w:tc>
        <w:tcPr>
          <w:tcW w:w="850" w:type="dxa"/>
          <w:vAlign w:val="bottom"/>
        </w:tcPr>
        <w:p w:rsidR="000072E4" w:rsidRPr="00CA51B5" w:rsidRDefault="000072E4" w:rsidP="004E212A">
          <w:pPr>
            <w:jc w:val="right"/>
            <w:rPr>
              <w:sz w:val="16"/>
              <w:szCs w:val="16"/>
            </w:rPr>
          </w:pPr>
          <w:r>
            <w:rPr>
              <w:sz w:val="16"/>
              <w:szCs w:val="16"/>
              <w:lang w:val="de-DE"/>
            </w:rPr>
            <w:t>v</w:t>
          </w:r>
          <w:r w:rsidR="004E212A">
            <w:rPr>
              <w:sz w:val="16"/>
              <w:szCs w:val="16"/>
              <w:lang w:val="de-DE"/>
            </w:rPr>
            <w:t>2</w:t>
          </w:r>
          <w:r>
            <w:rPr>
              <w:sz w:val="16"/>
              <w:szCs w:val="16"/>
              <w:lang w:val="de-DE"/>
            </w:rPr>
            <w:t>.0</w:t>
          </w:r>
        </w:p>
      </w:tc>
    </w:tr>
  </w:tbl>
  <w:p w:rsidR="000072E4" w:rsidRPr="00BF5E09" w:rsidRDefault="000072E4"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E9C" w:rsidRDefault="00F80E9C" w:rsidP="00861A1A">
      <w:r>
        <w:separator/>
      </w:r>
    </w:p>
  </w:footnote>
  <w:footnote w:type="continuationSeparator" w:id="0">
    <w:p w:rsidR="00F80E9C" w:rsidRDefault="00F80E9C"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2E4" w:rsidRPr="002B41A8" w:rsidRDefault="000072E4"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0072E4" w:rsidRPr="00C148FD" w:rsidRDefault="0018573B" w:rsidP="00C148FD">
    <w:pPr>
      <w:ind w:left="1843"/>
      <w:jc w:val="right"/>
      <w:rPr>
        <w:rFonts w:ascii="Calibri" w:hAnsi="Calibri"/>
        <w:smallCaps/>
        <w:noProof/>
        <w:sz w:val="20"/>
        <w:szCs w:val="20"/>
      </w:rPr>
    </w:pPr>
    <w:r>
      <w:rPr>
        <w:rFonts w:ascii="Calibri" w:hAnsi="Calibri"/>
        <w:smallCaps/>
        <w:noProof/>
        <w:sz w:val="20"/>
        <w:szCs w:val="20"/>
        <w:lang w:val="de-DE"/>
      </w:rPr>
      <w:t>CLOUD COMPUTING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D910BB72"/>
    <w:lvl w:ilvl="0" w:tplc="794851C4">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33166E"/>
    <w:multiLevelType w:val="hybridMultilevel"/>
    <w:tmpl w:val="57E2F756"/>
    <w:lvl w:ilvl="0" w:tplc="6C321C76">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2624B"/>
    <w:multiLevelType w:val="hybridMultilevel"/>
    <w:tmpl w:val="2F9AA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2E0134"/>
    <w:multiLevelType w:val="hybridMultilevel"/>
    <w:tmpl w:val="9BDE0DEE"/>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5"/>
  </w:num>
  <w:num w:numId="10">
    <w:abstractNumId w:val="10"/>
  </w:num>
  <w:num w:numId="11">
    <w:abstractNumId w:val="5"/>
    <w:lvlOverride w:ilvl="0">
      <w:startOverride w:val="1"/>
    </w:lvlOverride>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B9F"/>
    <w:rsid w:val="0000491E"/>
    <w:rsid w:val="0000514E"/>
    <w:rsid w:val="0000673F"/>
    <w:rsid w:val="000072E4"/>
    <w:rsid w:val="00016AD8"/>
    <w:rsid w:val="00017595"/>
    <w:rsid w:val="00021197"/>
    <w:rsid w:val="00030EDA"/>
    <w:rsid w:val="00045BEB"/>
    <w:rsid w:val="000649AE"/>
    <w:rsid w:val="00066C72"/>
    <w:rsid w:val="00073ADF"/>
    <w:rsid w:val="0007473C"/>
    <w:rsid w:val="000750C9"/>
    <w:rsid w:val="00076F7E"/>
    <w:rsid w:val="00087EAC"/>
    <w:rsid w:val="0009152F"/>
    <w:rsid w:val="00094A16"/>
    <w:rsid w:val="000A233F"/>
    <w:rsid w:val="000A3594"/>
    <w:rsid w:val="000A55B3"/>
    <w:rsid w:val="000C6B3A"/>
    <w:rsid w:val="000D0A9A"/>
    <w:rsid w:val="000E28A9"/>
    <w:rsid w:val="000E693B"/>
    <w:rsid w:val="001301D8"/>
    <w:rsid w:val="001316F0"/>
    <w:rsid w:val="0013693D"/>
    <w:rsid w:val="00136968"/>
    <w:rsid w:val="00137B9F"/>
    <w:rsid w:val="00141E1A"/>
    <w:rsid w:val="0014373A"/>
    <w:rsid w:val="00151ED1"/>
    <w:rsid w:val="00154968"/>
    <w:rsid w:val="00160E07"/>
    <w:rsid w:val="00164458"/>
    <w:rsid w:val="00165F85"/>
    <w:rsid w:val="00170488"/>
    <w:rsid w:val="00170E72"/>
    <w:rsid w:val="0017377E"/>
    <w:rsid w:val="00176804"/>
    <w:rsid w:val="001840EA"/>
    <w:rsid w:val="0018573B"/>
    <w:rsid w:val="00185BED"/>
    <w:rsid w:val="00187232"/>
    <w:rsid w:val="001922A0"/>
    <w:rsid w:val="00195A08"/>
    <w:rsid w:val="001B057D"/>
    <w:rsid w:val="001B1154"/>
    <w:rsid w:val="001D00A1"/>
    <w:rsid w:val="001D3491"/>
    <w:rsid w:val="001F6290"/>
    <w:rsid w:val="00211FB6"/>
    <w:rsid w:val="00213F2C"/>
    <w:rsid w:val="0021433A"/>
    <w:rsid w:val="00223478"/>
    <w:rsid w:val="00225015"/>
    <w:rsid w:val="00232EDE"/>
    <w:rsid w:val="00242C56"/>
    <w:rsid w:val="00244468"/>
    <w:rsid w:val="00244E6B"/>
    <w:rsid w:val="00272012"/>
    <w:rsid w:val="002825A8"/>
    <w:rsid w:val="00283A7C"/>
    <w:rsid w:val="002850DE"/>
    <w:rsid w:val="00290885"/>
    <w:rsid w:val="00290E48"/>
    <w:rsid w:val="00292860"/>
    <w:rsid w:val="002976A9"/>
    <w:rsid w:val="002A53F9"/>
    <w:rsid w:val="002B0278"/>
    <w:rsid w:val="002B0866"/>
    <w:rsid w:val="002B41A8"/>
    <w:rsid w:val="002C2A0A"/>
    <w:rsid w:val="002D2AC1"/>
    <w:rsid w:val="002E301D"/>
    <w:rsid w:val="00304ADA"/>
    <w:rsid w:val="00306B9F"/>
    <w:rsid w:val="00307892"/>
    <w:rsid w:val="00315203"/>
    <w:rsid w:val="00323262"/>
    <w:rsid w:val="003275A8"/>
    <w:rsid w:val="00337851"/>
    <w:rsid w:val="00347E4D"/>
    <w:rsid w:val="00351AF3"/>
    <w:rsid w:val="003874BA"/>
    <w:rsid w:val="0039176B"/>
    <w:rsid w:val="0039238A"/>
    <w:rsid w:val="003A1E6F"/>
    <w:rsid w:val="003A2E84"/>
    <w:rsid w:val="003B1326"/>
    <w:rsid w:val="003C360A"/>
    <w:rsid w:val="003C5B45"/>
    <w:rsid w:val="003D41BB"/>
    <w:rsid w:val="003E01BE"/>
    <w:rsid w:val="003E6DEC"/>
    <w:rsid w:val="003F03EB"/>
    <w:rsid w:val="003F623C"/>
    <w:rsid w:val="003F7F87"/>
    <w:rsid w:val="00402B09"/>
    <w:rsid w:val="00417ED2"/>
    <w:rsid w:val="0045728E"/>
    <w:rsid w:val="0046567F"/>
    <w:rsid w:val="00472203"/>
    <w:rsid w:val="00475954"/>
    <w:rsid w:val="00480F8C"/>
    <w:rsid w:val="00492966"/>
    <w:rsid w:val="004A01E5"/>
    <w:rsid w:val="004A7B44"/>
    <w:rsid w:val="004B2F14"/>
    <w:rsid w:val="004B392E"/>
    <w:rsid w:val="004C0E36"/>
    <w:rsid w:val="004E212A"/>
    <w:rsid w:val="004E5E95"/>
    <w:rsid w:val="004E70EA"/>
    <w:rsid w:val="004F5AFF"/>
    <w:rsid w:val="005132B0"/>
    <w:rsid w:val="00513369"/>
    <w:rsid w:val="00517E3A"/>
    <w:rsid w:val="0052284C"/>
    <w:rsid w:val="00530ABA"/>
    <w:rsid w:val="00541560"/>
    <w:rsid w:val="00546855"/>
    <w:rsid w:val="005508F8"/>
    <w:rsid w:val="00554277"/>
    <w:rsid w:val="00561B7B"/>
    <w:rsid w:val="00561C5A"/>
    <w:rsid w:val="005728B3"/>
    <w:rsid w:val="005738D5"/>
    <w:rsid w:val="0057504E"/>
    <w:rsid w:val="005832C4"/>
    <w:rsid w:val="00587966"/>
    <w:rsid w:val="005911C1"/>
    <w:rsid w:val="005972F1"/>
    <w:rsid w:val="005A0FB3"/>
    <w:rsid w:val="005A2923"/>
    <w:rsid w:val="005B2E55"/>
    <w:rsid w:val="005B37E2"/>
    <w:rsid w:val="005B460C"/>
    <w:rsid w:val="005D7525"/>
    <w:rsid w:val="005E1AB1"/>
    <w:rsid w:val="005E20B2"/>
    <w:rsid w:val="005E5A22"/>
    <w:rsid w:val="005F5FA1"/>
    <w:rsid w:val="0061466C"/>
    <w:rsid w:val="00625B5A"/>
    <w:rsid w:val="0063686B"/>
    <w:rsid w:val="006435FE"/>
    <w:rsid w:val="0064494B"/>
    <w:rsid w:val="00660358"/>
    <w:rsid w:val="0066326F"/>
    <w:rsid w:val="00675D19"/>
    <w:rsid w:val="0068067D"/>
    <w:rsid w:val="0068131D"/>
    <w:rsid w:val="00690FB1"/>
    <w:rsid w:val="006954EE"/>
    <w:rsid w:val="006A24C7"/>
    <w:rsid w:val="006B5D59"/>
    <w:rsid w:val="006C5049"/>
    <w:rsid w:val="006D39B2"/>
    <w:rsid w:val="006D3F30"/>
    <w:rsid w:val="006D50FA"/>
    <w:rsid w:val="006F0D5B"/>
    <w:rsid w:val="006F787A"/>
    <w:rsid w:val="00710301"/>
    <w:rsid w:val="007111FD"/>
    <w:rsid w:val="0073574D"/>
    <w:rsid w:val="007460F9"/>
    <w:rsid w:val="0076745A"/>
    <w:rsid w:val="007738BD"/>
    <w:rsid w:val="007837ED"/>
    <w:rsid w:val="00790D07"/>
    <w:rsid w:val="007C0FDD"/>
    <w:rsid w:val="007C2A3B"/>
    <w:rsid w:val="007C308E"/>
    <w:rsid w:val="007C5B85"/>
    <w:rsid w:val="007E16D1"/>
    <w:rsid w:val="007E6CED"/>
    <w:rsid w:val="00800B00"/>
    <w:rsid w:val="00802588"/>
    <w:rsid w:val="00813612"/>
    <w:rsid w:val="0081479C"/>
    <w:rsid w:val="00825830"/>
    <w:rsid w:val="00826CB2"/>
    <w:rsid w:val="00830375"/>
    <w:rsid w:val="00831014"/>
    <w:rsid w:val="00832323"/>
    <w:rsid w:val="00844961"/>
    <w:rsid w:val="00861A1A"/>
    <w:rsid w:val="00864D93"/>
    <w:rsid w:val="00877FE6"/>
    <w:rsid w:val="00882BE0"/>
    <w:rsid w:val="008836CE"/>
    <w:rsid w:val="0089120A"/>
    <w:rsid w:val="00891FF5"/>
    <w:rsid w:val="00893E89"/>
    <w:rsid w:val="008A3619"/>
    <w:rsid w:val="008B05F5"/>
    <w:rsid w:val="008B6CCD"/>
    <w:rsid w:val="008C64E0"/>
    <w:rsid w:val="008C6A44"/>
    <w:rsid w:val="008D38F1"/>
    <w:rsid w:val="008F1B37"/>
    <w:rsid w:val="008F5585"/>
    <w:rsid w:val="00912A69"/>
    <w:rsid w:val="00916DC9"/>
    <w:rsid w:val="0094072E"/>
    <w:rsid w:val="00950649"/>
    <w:rsid w:val="0095346A"/>
    <w:rsid w:val="00955A25"/>
    <w:rsid w:val="00961858"/>
    <w:rsid w:val="00963F86"/>
    <w:rsid w:val="0096636A"/>
    <w:rsid w:val="0097175A"/>
    <w:rsid w:val="00974B16"/>
    <w:rsid w:val="009802AD"/>
    <w:rsid w:val="00990ADC"/>
    <w:rsid w:val="0099591E"/>
    <w:rsid w:val="009A5F9E"/>
    <w:rsid w:val="009B27AF"/>
    <w:rsid w:val="009B638C"/>
    <w:rsid w:val="009C7B24"/>
    <w:rsid w:val="009E2A2A"/>
    <w:rsid w:val="009F6E5E"/>
    <w:rsid w:val="00A17111"/>
    <w:rsid w:val="00A21623"/>
    <w:rsid w:val="00A26A28"/>
    <w:rsid w:val="00A41E41"/>
    <w:rsid w:val="00A50FFF"/>
    <w:rsid w:val="00A527AF"/>
    <w:rsid w:val="00A54992"/>
    <w:rsid w:val="00A633E1"/>
    <w:rsid w:val="00A65E53"/>
    <w:rsid w:val="00A705EC"/>
    <w:rsid w:val="00A8234A"/>
    <w:rsid w:val="00A97C95"/>
    <w:rsid w:val="00AA0506"/>
    <w:rsid w:val="00AA5B23"/>
    <w:rsid w:val="00AC4ED9"/>
    <w:rsid w:val="00AC6380"/>
    <w:rsid w:val="00AD2F36"/>
    <w:rsid w:val="00AD6E4D"/>
    <w:rsid w:val="00AE2985"/>
    <w:rsid w:val="00AF5281"/>
    <w:rsid w:val="00B01599"/>
    <w:rsid w:val="00B15DB4"/>
    <w:rsid w:val="00B177D0"/>
    <w:rsid w:val="00B314F6"/>
    <w:rsid w:val="00B3151A"/>
    <w:rsid w:val="00B37307"/>
    <w:rsid w:val="00B5145B"/>
    <w:rsid w:val="00B707D0"/>
    <w:rsid w:val="00B75FF7"/>
    <w:rsid w:val="00B816F4"/>
    <w:rsid w:val="00B822EA"/>
    <w:rsid w:val="00B84417"/>
    <w:rsid w:val="00B94FBB"/>
    <w:rsid w:val="00BA3595"/>
    <w:rsid w:val="00BB283E"/>
    <w:rsid w:val="00BB3CAA"/>
    <w:rsid w:val="00BB48C7"/>
    <w:rsid w:val="00BB75F7"/>
    <w:rsid w:val="00BC1F6B"/>
    <w:rsid w:val="00BC732E"/>
    <w:rsid w:val="00BD3D30"/>
    <w:rsid w:val="00BD7612"/>
    <w:rsid w:val="00BE6648"/>
    <w:rsid w:val="00BF038C"/>
    <w:rsid w:val="00BF5E09"/>
    <w:rsid w:val="00BF6970"/>
    <w:rsid w:val="00C148FD"/>
    <w:rsid w:val="00C2393A"/>
    <w:rsid w:val="00C5580D"/>
    <w:rsid w:val="00C57915"/>
    <w:rsid w:val="00C7264E"/>
    <w:rsid w:val="00C767C9"/>
    <w:rsid w:val="00C8560D"/>
    <w:rsid w:val="00C870D8"/>
    <w:rsid w:val="00C878F0"/>
    <w:rsid w:val="00C9216D"/>
    <w:rsid w:val="00C97642"/>
    <w:rsid w:val="00CA51B5"/>
    <w:rsid w:val="00CC2293"/>
    <w:rsid w:val="00CC266E"/>
    <w:rsid w:val="00CC375A"/>
    <w:rsid w:val="00CE09BA"/>
    <w:rsid w:val="00CF4DFA"/>
    <w:rsid w:val="00D060B3"/>
    <w:rsid w:val="00D06992"/>
    <w:rsid w:val="00D13639"/>
    <w:rsid w:val="00D20A5C"/>
    <w:rsid w:val="00D2650E"/>
    <w:rsid w:val="00D33524"/>
    <w:rsid w:val="00D35F2E"/>
    <w:rsid w:val="00D40EB6"/>
    <w:rsid w:val="00D412CA"/>
    <w:rsid w:val="00D573B0"/>
    <w:rsid w:val="00D5796D"/>
    <w:rsid w:val="00D6447F"/>
    <w:rsid w:val="00D6535B"/>
    <w:rsid w:val="00D71B81"/>
    <w:rsid w:val="00D773FA"/>
    <w:rsid w:val="00D945B1"/>
    <w:rsid w:val="00DA18A6"/>
    <w:rsid w:val="00DA1F5C"/>
    <w:rsid w:val="00DA24E3"/>
    <w:rsid w:val="00DB2F24"/>
    <w:rsid w:val="00DB674B"/>
    <w:rsid w:val="00DC1DC7"/>
    <w:rsid w:val="00DD085D"/>
    <w:rsid w:val="00DD20B3"/>
    <w:rsid w:val="00DD34CF"/>
    <w:rsid w:val="00DD6149"/>
    <w:rsid w:val="00DE3767"/>
    <w:rsid w:val="00DE51CB"/>
    <w:rsid w:val="00DF518C"/>
    <w:rsid w:val="00E0343F"/>
    <w:rsid w:val="00E062D3"/>
    <w:rsid w:val="00E10571"/>
    <w:rsid w:val="00E10DD0"/>
    <w:rsid w:val="00E11170"/>
    <w:rsid w:val="00E14EEB"/>
    <w:rsid w:val="00E2272B"/>
    <w:rsid w:val="00E352FF"/>
    <w:rsid w:val="00E41087"/>
    <w:rsid w:val="00E516D7"/>
    <w:rsid w:val="00E5359D"/>
    <w:rsid w:val="00E54A46"/>
    <w:rsid w:val="00E65738"/>
    <w:rsid w:val="00E8518C"/>
    <w:rsid w:val="00E879F9"/>
    <w:rsid w:val="00E90BD9"/>
    <w:rsid w:val="00EA1BDF"/>
    <w:rsid w:val="00EB68C8"/>
    <w:rsid w:val="00EB6B74"/>
    <w:rsid w:val="00EB6E4B"/>
    <w:rsid w:val="00EC77B0"/>
    <w:rsid w:val="00ED2956"/>
    <w:rsid w:val="00EE3197"/>
    <w:rsid w:val="00EE4E6D"/>
    <w:rsid w:val="00EF2951"/>
    <w:rsid w:val="00F078C3"/>
    <w:rsid w:val="00F168D6"/>
    <w:rsid w:val="00F24638"/>
    <w:rsid w:val="00F248A4"/>
    <w:rsid w:val="00F46B18"/>
    <w:rsid w:val="00F54D2A"/>
    <w:rsid w:val="00F748A6"/>
    <w:rsid w:val="00F80E9C"/>
    <w:rsid w:val="00F82C59"/>
    <w:rsid w:val="00F871C6"/>
    <w:rsid w:val="00F8749B"/>
    <w:rsid w:val="00F9500E"/>
    <w:rsid w:val="00FA74D9"/>
    <w:rsid w:val="00FB201E"/>
    <w:rsid w:val="00FF4C0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19"/>
        <o:r id="V:Rule2" type="connector" idref="#AutoShape 16"/>
        <o:r id="V:Rule3" type="connector" idref="#AutoShape 18"/>
        <o:r id="V:Rule4" type="connector" idref="#AutoShape 17"/>
      </o:rules>
    </o:shapelayout>
  </w:shapeDefaults>
  <w:decimalSymbol w:val=","/>
  <w:listSeparator w:val=";"/>
  <w14:docId w14:val="7EA7A1D9"/>
  <w15:docId w15:val="{8E107130-44D2-41F3-A952-5895DABC6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54D2A"/>
    <w:pPr>
      <w:numPr>
        <w:numId w:val="2"/>
      </w:numPr>
      <w:ind w:left="426" w:hanging="357"/>
      <w:contextualSpacing/>
    </w:pPr>
    <w:rPr>
      <w:b/>
      <w:lang w:val="en-US"/>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character" w:styleId="Zstupntext">
    <w:name w:val="Placeholder Text"/>
    <w:basedOn w:val="Standardnpsmoodstavce"/>
    <w:uiPriority w:val="99"/>
    <w:semiHidden/>
    <w:rsid w:val="00141E1A"/>
    <w:rPr>
      <w:color w:val="808080"/>
    </w:rPr>
  </w:style>
  <w:style w:type="paragraph" w:styleId="Normlnweb">
    <w:name w:val="Normal (Web)"/>
    <w:basedOn w:val="Normln"/>
    <w:uiPriority w:val="99"/>
    <w:unhideWhenUsed/>
    <w:rsid w:val="00BF038C"/>
    <w:pPr>
      <w:spacing w:before="100" w:beforeAutospacing="1" w:after="100" w:afterAutospacing="1"/>
    </w:pPr>
    <w:rPr>
      <w:rFonts w:eastAsiaTheme="minorEastAsia"/>
      <w:lang w:val="ca-ES" w:eastAsia="ca-ES"/>
    </w:rPr>
  </w:style>
  <w:style w:type="character" w:customStyle="1" w:styleId="eAbbreviationMeaning">
    <w:name w:val="eAbbreviationMeaning"/>
    <w:basedOn w:val="Standardnpsmoodstavce"/>
    <w:rsid w:val="00290885"/>
    <w:rPr>
      <w:b/>
      <w:i/>
      <w:color w:val="002060"/>
      <w:sz w:val="24"/>
      <w:szCs w:val="24"/>
      <w:lang w:val="cs-CZ" w:eastAsia="en-US"/>
    </w:rPr>
  </w:style>
  <w:style w:type="paragraph" w:styleId="Odstavecseseznamem">
    <w:name w:val="List Paragraph"/>
    <w:basedOn w:val="Normln"/>
    <w:uiPriority w:val="34"/>
    <w:qFormat/>
    <w:rsid w:val="00290885"/>
    <w:pPr>
      <w:ind w:left="720"/>
      <w:contextualSpacing/>
    </w:pPr>
  </w:style>
  <w:style w:type="paragraph" w:customStyle="1" w:styleId="eText">
    <w:name w:val="eText"/>
    <w:basedOn w:val="Normln"/>
    <w:link w:val="eTextChar"/>
    <w:rsid w:val="00877FE6"/>
    <w:pPr>
      <w:spacing w:after="240"/>
    </w:pPr>
    <w:rPr>
      <w:lang w:val="ca-ES" w:eastAsia="en-US"/>
    </w:rPr>
  </w:style>
  <w:style w:type="character" w:customStyle="1" w:styleId="eTextChar">
    <w:name w:val="eText Char"/>
    <w:basedOn w:val="Standardnpsmoodstavce"/>
    <w:link w:val="eText"/>
    <w:rsid w:val="00877FE6"/>
    <w:rPr>
      <w:sz w:val="24"/>
      <w:szCs w:val="24"/>
      <w:lang w:eastAsia="en-US"/>
    </w:rPr>
  </w:style>
  <w:style w:type="paragraph" w:customStyle="1" w:styleId="eDotList1">
    <w:name w:val="eDotList1"/>
    <w:basedOn w:val="Seznamsodrkami"/>
    <w:rsid w:val="00E062D3"/>
    <w:pPr>
      <w:tabs>
        <w:tab w:val="clear" w:pos="340"/>
      </w:tabs>
      <w:spacing w:after="240"/>
      <w:ind w:left="720"/>
    </w:pPr>
    <w:rPr>
      <w:lang w:eastAsia="en-US"/>
    </w:rPr>
  </w:style>
  <w:style w:type="paragraph" w:styleId="Seznamsodrkami">
    <w:name w:val="List Bullet"/>
    <w:basedOn w:val="Normln"/>
    <w:rsid w:val="00E062D3"/>
    <w:pPr>
      <w:tabs>
        <w:tab w:val="num" w:pos="340"/>
      </w:tabs>
      <w:ind w:left="340" w:hanging="340"/>
      <w:contextualSpacing/>
    </w:pPr>
  </w:style>
  <w:style w:type="character" w:customStyle="1" w:styleId="hps">
    <w:name w:val="hps"/>
    <w:basedOn w:val="Standardnpsmoodstavce"/>
    <w:rsid w:val="00C870D8"/>
  </w:style>
  <w:style w:type="character" w:customStyle="1" w:styleId="atn">
    <w:name w:val="atn"/>
    <w:basedOn w:val="Standardnpsmoodstavce"/>
    <w:rsid w:val="00391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260849">
      <w:bodyDiv w:val="1"/>
      <w:marLeft w:val="0"/>
      <w:marRight w:val="0"/>
      <w:marTop w:val="0"/>
      <w:marBottom w:val="0"/>
      <w:divBdr>
        <w:top w:val="none" w:sz="0" w:space="0" w:color="auto"/>
        <w:left w:val="none" w:sz="0" w:space="0" w:color="auto"/>
        <w:bottom w:val="none" w:sz="0" w:space="0" w:color="auto"/>
        <w:right w:val="none" w:sz="0" w:space="0" w:color="auto"/>
      </w:divBdr>
      <w:divsChild>
        <w:div w:id="1595747211">
          <w:marLeft w:val="0"/>
          <w:marRight w:val="0"/>
          <w:marTop w:val="0"/>
          <w:marBottom w:val="0"/>
          <w:divBdr>
            <w:top w:val="none" w:sz="0" w:space="0" w:color="auto"/>
            <w:left w:val="none" w:sz="0" w:space="0" w:color="auto"/>
            <w:bottom w:val="none" w:sz="0" w:space="0" w:color="auto"/>
            <w:right w:val="none" w:sz="0" w:space="0" w:color="auto"/>
          </w:divBdr>
          <w:divsChild>
            <w:div w:id="1808935871">
              <w:marLeft w:val="0"/>
              <w:marRight w:val="0"/>
              <w:marTop w:val="0"/>
              <w:marBottom w:val="0"/>
              <w:divBdr>
                <w:top w:val="none" w:sz="0" w:space="0" w:color="auto"/>
                <w:left w:val="none" w:sz="0" w:space="0" w:color="auto"/>
                <w:bottom w:val="none" w:sz="0" w:space="0" w:color="auto"/>
                <w:right w:val="none" w:sz="0" w:space="0" w:color="auto"/>
              </w:divBdr>
              <w:divsChild>
                <w:div w:id="1599367845">
                  <w:marLeft w:val="0"/>
                  <w:marRight w:val="0"/>
                  <w:marTop w:val="0"/>
                  <w:marBottom w:val="0"/>
                  <w:divBdr>
                    <w:top w:val="none" w:sz="0" w:space="0" w:color="auto"/>
                    <w:left w:val="none" w:sz="0" w:space="0" w:color="auto"/>
                    <w:bottom w:val="none" w:sz="0" w:space="0" w:color="auto"/>
                    <w:right w:val="none" w:sz="0" w:space="0" w:color="auto"/>
                  </w:divBdr>
                  <w:divsChild>
                    <w:div w:id="214045620">
                      <w:marLeft w:val="0"/>
                      <w:marRight w:val="0"/>
                      <w:marTop w:val="0"/>
                      <w:marBottom w:val="0"/>
                      <w:divBdr>
                        <w:top w:val="none" w:sz="0" w:space="0" w:color="auto"/>
                        <w:left w:val="none" w:sz="0" w:space="0" w:color="auto"/>
                        <w:bottom w:val="none" w:sz="0" w:space="0" w:color="auto"/>
                        <w:right w:val="none" w:sz="0" w:space="0" w:color="auto"/>
                      </w:divBdr>
                      <w:divsChild>
                        <w:div w:id="154419115">
                          <w:marLeft w:val="0"/>
                          <w:marRight w:val="0"/>
                          <w:marTop w:val="0"/>
                          <w:marBottom w:val="0"/>
                          <w:divBdr>
                            <w:top w:val="none" w:sz="0" w:space="0" w:color="auto"/>
                            <w:left w:val="none" w:sz="0" w:space="0" w:color="auto"/>
                            <w:bottom w:val="none" w:sz="0" w:space="0" w:color="auto"/>
                            <w:right w:val="none" w:sz="0" w:space="0" w:color="auto"/>
                          </w:divBdr>
                          <w:divsChild>
                            <w:div w:id="56121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430207">
      <w:bodyDiv w:val="1"/>
      <w:marLeft w:val="0"/>
      <w:marRight w:val="0"/>
      <w:marTop w:val="0"/>
      <w:marBottom w:val="0"/>
      <w:divBdr>
        <w:top w:val="none" w:sz="0" w:space="0" w:color="auto"/>
        <w:left w:val="none" w:sz="0" w:space="0" w:color="auto"/>
        <w:bottom w:val="none" w:sz="0" w:space="0" w:color="auto"/>
        <w:right w:val="none" w:sz="0" w:space="0" w:color="auto"/>
      </w:divBdr>
    </w:div>
    <w:div w:id="626400429">
      <w:bodyDiv w:val="1"/>
      <w:marLeft w:val="0"/>
      <w:marRight w:val="0"/>
      <w:marTop w:val="0"/>
      <w:marBottom w:val="0"/>
      <w:divBdr>
        <w:top w:val="none" w:sz="0" w:space="0" w:color="auto"/>
        <w:left w:val="none" w:sz="0" w:space="0" w:color="auto"/>
        <w:bottom w:val="none" w:sz="0" w:space="0" w:color="auto"/>
        <w:right w:val="none" w:sz="0" w:space="0" w:color="auto"/>
      </w:divBdr>
      <w:divsChild>
        <w:div w:id="1474709727">
          <w:marLeft w:val="0"/>
          <w:marRight w:val="0"/>
          <w:marTop w:val="0"/>
          <w:marBottom w:val="0"/>
          <w:divBdr>
            <w:top w:val="none" w:sz="0" w:space="0" w:color="auto"/>
            <w:left w:val="none" w:sz="0" w:space="0" w:color="auto"/>
            <w:bottom w:val="none" w:sz="0" w:space="0" w:color="auto"/>
            <w:right w:val="none" w:sz="0" w:space="0" w:color="auto"/>
          </w:divBdr>
          <w:divsChild>
            <w:div w:id="1829519243">
              <w:marLeft w:val="0"/>
              <w:marRight w:val="0"/>
              <w:marTop w:val="0"/>
              <w:marBottom w:val="0"/>
              <w:divBdr>
                <w:top w:val="none" w:sz="0" w:space="0" w:color="auto"/>
                <w:left w:val="none" w:sz="0" w:space="0" w:color="auto"/>
                <w:bottom w:val="none" w:sz="0" w:space="0" w:color="auto"/>
                <w:right w:val="none" w:sz="0" w:space="0" w:color="auto"/>
              </w:divBdr>
              <w:divsChild>
                <w:div w:id="807550890">
                  <w:marLeft w:val="0"/>
                  <w:marRight w:val="0"/>
                  <w:marTop w:val="0"/>
                  <w:marBottom w:val="0"/>
                  <w:divBdr>
                    <w:top w:val="none" w:sz="0" w:space="0" w:color="auto"/>
                    <w:left w:val="none" w:sz="0" w:space="0" w:color="auto"/>
                    <w:bottom w:val="none" w:sz="0" w:space="0" w:color="auto"/>
                    <w:right w:val="none" w:sz="0" w:space="0" w:color="auto"/>
                  </w:divBdr>
                  <w:divsChild>
                    <w:div w:id="1035932591">
                      <w:marLeft w:val="0"/>
                      <w:marRight w:val="0"/>
                      <w:marTop w:val="0"/>
                      <w:marBottom w:val="0"/>
                      <w:divBdr>
                        <w:top w:val="none" w:sz="0" w:space="0" w:color="auto"/>
                        <w:left w:val="none" w:sz="0" w:space="0" w:color="auto"/>
                        <w:bottom w:val="none" w:sz="0" w:space="0" w:color="auto"/>
                        <w:right w:val="none" w:sz="0" w:space="0" w:color="auto"/>
                      </w:divBdr>
                      <w:divsChild>
                        <w:div w:id="552548080">
                          <w:marLeft w:val="0"/>
                          <w:marRight w:val="0"/>
                          <w:marTop w:val="0"/>
                          <w:marBottom w:val="0"/>
                          <w:divBdr>
                            <w:top w:val="none" w:sz="0" w:space="0" w:color="auto"/>
                            <w:left w:val="none" w:sz="0" w:space="0" w:color="auto"/>
                            <w:bottom w:val="none" w:sz="0" w:space="0" w:color="auto"/>
                            <w:right w:val="none" w:sz="0" w:space="0" w:color="auto"/>
                          </w:divBdr>
                          <w:divsChild>
                            <w:div w:id="143497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181614">
      <w:bodyDiv w:val="1"/>
      <w:marLeft w:val="0"/>
      <w:marRight w:val="0"/>
      <w:marTop w:val="0"/>
      <w:marBottom w:val="0"/>
      <w:divBdr>
        <w:top w:val="none" w:sz="0" w:space="0" w:color="auto"/>
        <w:left w:val="none" w:sz="0" w:space="0" w:color="auto"/>
        <w:bottom w:val="none" w:sz="0" w:space="0" w:color="auto"/>
        <w:right w:val="none" w:sz="0" w:space="0" w:color="auto"/>
      </w:divBdr>
      <w:divsChild>
        <w:div w:id="471286593">
          <w:marLeft w:val="0"/>
          <w:marRight w:val="0"/>
          <w:marTop w:val="0"/>
          <w:marBottom w:val="0"/>
          <w:divBdr>
            <w:top w:val="none" w:sz="0" w:space="0" w:color="auto"/>
            <w:left w:val="none" w:sz="0" w:space="0" w:color="auto"/>
            <w:bottom w:val="none" w:sz="0" w:space="0" w:color="auto"/>
            <w:right w:val="none" w:sz="0" w:space="0" w:color="auto"/>
          </w:divBdr>
          <w:divsChild>
            <w:div w:id="1792631245">
              <w:marLeft w:val="0"/>
              <w:marRight w:val="0"/>
              <w:marTop w:val="0"/>
              <w:marBottom w:val="0"/>
              <w:divBdr>
                <w:top w:val="none" w:sz="0" w:space="0" w:color="auto"/>
                <w:left w:val="none" w:sz="0" w:space="0" w:color="auto"/>
                <w:bottom w:val="none" w:sz="0" w:space="0" w:color="auto"/>
                <w:right w:val="none" w:sz="0" w:space="0" w:color="auto"/>
              </w:divBdr>
              <w:divsChild>
                <w:div w:id="19853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33362">
      <w:bodyDiv w:val="1"/>
      <w:marLeft w:val="0"/>
      <w:marRight w:val="0"/>
      <w:marTop w:val="0"/>
      <w:marBottom w:val="0"/>
      <w:divBdr>
        <w:top w:val="none" w:sz="0" w:space="0" w:color="auto"/>
        <w:left w:val="none" w:sz="0" w:space="0" w:color="auto"/>
        <w:bottom w:val="none" w:sz="0" w:space="0" w:color="auto"/>
        <w:right w:val="none" w:sz="0" w:space="0" w:color="auto"/>
      </w:divBdr>
      <w:divsChild>
        <w:div w:id="871071304">
          <w:marLeft w:val="0"/>
          <w:marRight w:val="0"/>
          <w:marTop w:val="0"/>
          <w:marBottom w:val="0"/>
          <w:divBdr>
            <w:top w:val="none" w:sz="0" w:space="0" w:color="auto"/>
            <w:left w:val="none" w:sz="0" w:space="0" w:color="auto"/>
            <w:bottom w:val="none" w:sz="0" w:space="0" w:color="auto"/>
            <w:right w:val="none" w:sz="0" w:space="0" w:color="auto"/>
          </w:divBdr>
          <w:divsChild>
            <w:div w:id="1929926483">
              <w:marLeft w:val="0"/>
              <w:marRight w:val="0"/>
              <w:marTop w:val="0"/>
              <w:marBottom w:val="0"/>
              <w:divBdr>
                <w:top w:val="none" w:sz="0" w:space="0" w:color="auto"/>
                <w:left w:val="none" w:sz="0" w:space="0" w:color="auto"/>
                <w:bottom w:val="none" w:sz="0" w:space="0" w:color="auto"/>
                <w:right w:val="none" w:sz="0" w:space="0" w:color="auto"/>
              </w:divBdr>
              <w:divsChild>
                <w:div w:id="912858961">
                  <w:marLeft w:val="0"/>
                  <w:marRight w:val="0"/>
                  <w:marTop w:val="0"/>
                  <w:marBottom w:val="0"/>
                  <w:divBdr>
                    <w:top w:val="none" w:sz="0" w:space="0" w:color="auto"/>
                    <w:left w:val="none" w:sz="0" w:space="0" w:color="auto"/>
                    <w:bottom w:val="none" w:sz="0" w:space="0" w:color="auto"/>
                    <w:right w:val="none" w:sz="0" w:space="0" w:color="auto"/>
                  </w:divBdr>
                  <w:divsChild>
                    <w:div w:id="844444613">
                      <w:marLeft w:val="0"/>
                      <w:marRight w:val="0"/>
                      <w:marTop w:val="0"/>
                      <w:marBottom w:val="0"/>
                      <w:divBdr>
                        <w:top w:val="none" w:sz="0" w:space="0" w:color="auto"/>
                        <w:left w:val="none" w:sz="0" w:space="0" w:color="auto"/>
                        <w:bottom w:val="none" w:sz="0" w:space="0" w:color="auto"/>
                        <w:right w:val="none" w:sz="0" w:space="0" w:color="auto"/>
                      </w:divBdr>
                      <w:divsChild>
                        <w:div w:id="111292481">
                          <w:marLeft w:val="0"/>
                          <w:marRight w:val="0"/>
                          <w:marTop w:val="0"/>
                          <w:marBottom w:val="0"/>
                          <w:divBdr>
                            <w:top w:val="none" w:sz="0" w:space="0" w:color="auto"/>
                            <w:left w:val="none" w:sz="0" w:space="0" w:color="auto"/>
                            <w:bottom w:val="none" w:sz="0" w:space="0" w:color="auto"/>
                            <w:right w:val="none" w:sz="0" w:space="0" w:color="auto"/>
                          </w:divBdr>
                          <w:divsChild>
                            <w:div w:id="1972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60341">
      <w:bodyDiv w:val="1"/>
      <w:marLeft w:val="0"/>
      <w:marRight w:val="0"/>
      <w:marTop w:val="0"/>
      <w:marBottom w:val="0"/>
      <w:divBdr>
        <w:top w:val="none" w:sz="0" w:space="0" w:color="auto"/>
        <w:left w:val="none" w:sz="0" w:space="0" w:color="auto"/>
        <w:bottom w:val="none" w:sz="0" w:space="0" w:color="auto"/>
        <w:right w:val="none" w:sz="0" w:space="0" w:color="auto"/>
      </w:divBdr>
      <w:divsChild>
        <w:div w:id="172384756">
          <w:marLeft w:val="0"/>
          <w:marRight w:val="0"/>
          <w:marTop w:val="0"/>
          <w:marBottom w:val="0"/>
          <w:divBdr>
            <w:top w:val="none" w:sz="0" w:space="0" w:color="auto"/>
            <w:left w:val="none" w:sz="0" w:space="0" w:color="auto"/>
            <w:bottom w:val="none" w:sz="0" w:space="0" w:color="auto"/>
            <w:right w:val="none" w:sz="0" w:space="0" w:color="auto"/>
          </w:divBdr>
        </w:div>
        <w:div w:id="1785417782">
          <w:marLeft w:val="0"/>
          <w:marRight w:val="0"/>
          <w:marTop w:val="0"/>
          <w:marBottom w:val="0"/>
          <w:divBdr>
            <w:top w:val="none" w:sz="0" w:space="0" w:color="auto"/>
            <w:left w:val="none" w:sz="0" w:space="0" w:color="auto"/>
            <w:bottom w:val="none" w:sz="0" w:space="0" w:color="auto"/>
            <w:right w:val="none" w:sz="0" w:space="0" w:color="auto"/>
          </w:divBdr>
        </w:div>
        <w:div w:id="124414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e%20soriano\Downloads\TechPedia_worksheet_template_EN.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9</TotalTime>
  <Pages>3</Pages>
  <Words>533</Words>
  <Characters>3150</Characters>
  <Application>Microsoft Office Word</Application>
  <DocSecurity>0</DocSecurity>
  <Lines>26</Lines>
  <Paragraphs>7</Paragraphs>
  <ScaleCrop>false</ScaleCrop>
  <HeadingPairs>
    <vt:vector size="4" baseType="variant">
      <vt:variant>
        <vt:lpstr>Název</vt:lpstr>
      </vt:variant>
      <vt:variant>
        <vt:i4>1</vt:i4>
      </vt:variant>
      <vt:variant>
        <vt:lpstr>Títol</vt:lpstr>
      </vt:variant>
      <vt:variant>
        <vt:i4>1</vt:i4>
      </vt:variant>
    </vt:vector>
  </HeadingPairs>
  <TitlesOfParts>
    <vt:vector size="2" baseType="lpstr">
      <vt:lpstr/>
      <vt:lpstr/>
    </vt:vector>
  </TitlesOfParts>
  <Company>ČVUT FEL Praha</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Marek Nevosad</cp:lastModifiedBy>
  <cp:revision>11</cp:revision>
  <cp:lastPrinted>2013-05-24T15:00:00Z</cp:lastPrinted>
  <dcterms:created xsi:type="dcterms:W3CDTF">2016-03-31T19:24:00Z</dcterms:created>
  <dcterms:modified xsi:type="dcterms:W3CDTF">2017-08-22T10:48:00Z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